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0A6D2" w14:textId="77777777" w:rsidR="00A002D7" w:rsidRDefault="00A002D7">
      <w:pPr>
        <w:pStyle w:val="Title"/>
        <w:rPr>
          <w:sz w:val="24"/>
          <w:szCs w:val="24"/>
        </w:rPr>
      </w:pPr>
    </w:p>
    <w:p w14:paraId="457CBF99" w14:textId="526E5E61" w:rsidR="00A002D7" w:rsidRDefault="00C91810">
      <w:pPr>
        <w:pStyle w:val="Title"/>
        <w:rPr>
          <w:sz w:val="24"/>
          <w:szCs w:val="24"/>
        </w:rPr>
      </w:pPr>
      <w:r>
        <w:rPr>
          <w:sz w:val="24"/>
          <w:szCs w:val="24"/>
        </w:rPr>
        <w:t xml:space="preserve">NOTĂ DE </w:t>
      </w:r>
      <w:r>
        <w:rPr>
          <w:sz w:val="24"/>
          <w:szCs w:val="24"/>
        </w:rPr>
        <w:t xml:space="preserve">FUNDAMENTARE </w:t>
      </w:r>
    </w:p>
    <w:p w14:paraId="5DCF2D57" w14:textId="77777777" w:rsidR="00A002D7" w:rsidRDefault="00A002D7"/>
    <w:tbl>
      <w:tblPr>
        <w:tblStyle w:val="a"/>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10"/>
      </w:tblGrid>
      <w:tr w:rsidR="00A002D7" w14:paraId="224C9C37" w14:textId="77777777">
        <w:trPr>
          <w:trHeight w:val="1674"/>
        </w:trPr>
        <w:tc>
          <w:tcPr>
            <w:tcW w:w="10710" w:type="dxa"/>
          </w:tcPr>
          <w:p w14:paraId="700B5DDC" w14:textId="77777777" w:rsidR="00A002D7" w:rsidRDefault="00C91810">
            <w:pPr>
              <w:pStyle w:val="Heading6"/>
              <w:spacing w:before="0" w:after="0" w:line="276" w:lineRule="auto"/>
              <w:jc w:val="center"/>
              <w:rPr>
                <w:sz w:val="24"/>
                <w:szCs w:val="24"/>
              </w:rPr>
            </w:pPr>
            <w:proofErr w:type="spellStart"/>
            <w:r>
              <w:rPr>
                <w:sz w:val="24"/>
                <w:szCs w:val="24"/>
              </w:rPr>
              <w:t>Secţiunea</w:t>
            </w:r>
            <w:proofErr w:type="spellEnd"/>
            <w:r>
              <w:rPr>
                <w:sz w:val="24"/>
                <w:szCs w:val="24"/>
              </w:rPr>
              <w:t xml:space="preserve"> 1</w:t>
            </w:r>
          </w:p>
          <w:p w14:paraId="7F1CB967" w14:textId="77777777" w:rsidR="00A002D7" w:rsidRDefault="00C91810">
            <w:pPr>
              <w:pStyle w:val="Heading6"/>
              <w:spacing w:before="0" w:after="0" w:line="276" w:lineRule="auto"/>
              <w:jc w:val="center"/>
              <w:rPr>
                <w:sz w:val="24"/>
                <w:szCs w:val="24"/>
              </w:rPr>
            </w:pPr>
            <w:r>
              <w:rPr>
                <w:sz w:val="24"/>
                <w:szCs w:val="24"/>
              </w:rPr>
              <w:t>Titlul proiectului de act normativ</w:t>
            </w:r>
          </w:p>
          <w:p w14:paraId="0C01A79F" w14:textId="77777777" w:rsidR="00A002D7" w:rsidRDefault="00A002D7">
            <w:pPr>
              <w:spacing w:line="276" w:lineRule="auto"/>
            </w:pPr>
          </w:p>
          <w:p w14:paraId="36883456" w14:textId="77777777" w:rsidR="00A002D7" w:rsidRDefault="00C91810">
            <w:pPr>
              <w:widowControl w:val="0"/>
              <w:spacing w:line="276" w:lineRule="auto"/>
              <w:jc w:val="center"/>
              <w:rPr>
                <w:b/>
              </w:rPr>
            </w:pPr>
            <w:bookmarkStart w:id="0" w:name="_gjdgxs" w:colFirst="0" w:colLast="0"/>
            <w:bookmarkEnd w:id="0"/>
            <w:r>
              <w:rPr>
                <w:b/>
              </w:rPr>
              <w:t>Ordonanță de urgență a Guvernului privind modificarea și completarea unor acte normative în domeniul fondurilor europene</w:t>
            </w:r>
          </w:p>
        </w:tc>
      </w:tr>
    </w:tbl>
    <w:p w14:paraId="70119CB4" w14:textId="77777777" w:rsidR="00A002D7" w:rsidRDefault="00C91810">
      <w:r>
        <w:t xml:space="preserve"> </w:t>
      </w:r>
    </w:p>
    <w:p w14:paraId="6EB5A477" w14:textId="77777777" w:rsidR="00A002D7" w:rsidRDefault="00C91810">
      <w:pPr>
        <w:rPr>
          <w:b/>
        </w:rPr>
      </w:pPr>
      <w:r>
        <w:rPr>
          <w:b/>
        </w:rPr>
        <w:t xml:space="preserve">    </w:t>
      </w:r>
      <w:proofErr w:type="spellStart"/>
      <w:r>
        <w:rPr>
          <w:b/>
        </w:rPr>
        <w:t>Secţiunea</w:t>
      </w:r>
      <w:proofErr w:type="spellEnd"/>
      <w:r>
        <w:rPr>
          <w:b/>
        </w:rPr>
        <w:t xml:space="preserve"> a 2-a  Motivul emiterii actului normativ </w:t>
      </w:r>
    </w:p>
    <w:p w14:paraId="49736BD5" w14:textId="77777777" w:rsidR="00A002D7" w:rsidRDefault="00A002D7">
      <w:pPr>
        <w:rPr>
          <w:b/>
        </w:rPr>
      </w:pPr>
    </w:p>
    <w:tbl>
      <w:tblPr>
        <w:tblStyle w:val="a0"/>
        <w:tblW w:w="1070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40"/>
        <w:gridCol w:w="9260"/>
      </w:tblGrid>
      <w:tr w:rsidR="00A002D7" w14:paraId="2A25C422" w14:textId="77777777">
        <w:trPr>
          <w:trHeight w:val="1833"/>
        </w:trPr>
        <w:tc>
          <w:tcPr>
            <w:tcW w:w="1440" w:type="dxa"/>
          </w:tcPr>
          <w:p w14:paraId="6BFC94EE" w14:textId="77777777" w:rsidR="00A002D7" w:rsidRDefault="00A002D7">
            <w:pPr>
              <w:pBdr>
                <w:top w:val="nil"/>
                <w:left w:val="nil"/>
                <w:bottom w:val="nil"/>
                <w:right w:val="nil"/>
                <w:between w:val="nil"/>
              </w:pBdr>
              <w:jc w:val="both"/>
              <w:rPr>
                <w:color w:val="000000"/>
              </w:rPr>
            </w:pPr>
          </w:p>
          <w:p w14:paraId="53EA6466" w14:textId="77777777" w:rsidR="00A002D7" w:rsidRDefault="00C91810">
            <w:pPr>
              <w:pBdr>
                <w:top w:val="nil"/>
                <w:left w:val="nil"/>
                <w:bottom w:val="nil"/>
                <w:right w:val="nil"/>
                <w:between w:val="nil"/>
              </w:pBdr>
              <w:jc w:val="both"/>
              <w:rPr>
                <w:color w:val="000000"/>
              </w:rPr>
            </w:pPr>
            <w:r>
              <w:rPr>
                <w:color w:val="000000"/>
              </w:rPr>
              <w:t xml:space="preserve">1.Descrierea </w:t>
            </w:r>
            <w:proofErr w:type="spellStart"/>
            <w:r>
              <w:rPr>
                <w:color w:val="000000"/>
              </w:rPr>
              <w:t>situaţiei</w:t>
            </w:r>
            <w:proofErr w:type="spellEnd"/>
            <w:r>
              <w:rPr>
                <w:color w:val="000000"/>
              </w:rPr>
              <w:t xml:space="preserve"> actuale</w:t>
            </w:r>
          </w:p>
        </w:tc>
        <w:tc>
          <w:tcPr>
            <w:tcW w:w="9260" w:type="dxa"/>
          </w:tcPr>
          <w:p w14:paraId="621A734C" w14:textId="77777777" w:rsidR="00A002D7" w:rsidRDefault="00C91810">
            <w:pPr>
              <w:spacing w:before="120" w:after="120"/>
              <w:jc w:val="both"/>
            </w:pPr>
            <w:r>
              <w:t xml:space="preserve">Ordonanța de urgență a Guvernului nr. 88/2020 </w:t>
            </w:r>
            <w:r>
              <w:rPr>
                <w:i/>
              </w:rPr>
              <w:t>privind instituirea unor măsuri, precum și acordarea unui sprijin financiar pentru pregătirea portofoliului de proiecte în domenii strategice considerate prioritare pentru perioada de programare 2021-2027, dest</w:t>
            </w:r>
            <w:r>
              <w:rPr>
                <w:i/>
              </w:rPr>
              <w:t>inat finanțării prin Programul operațional Asistență tehnică 2014-2020 (POAT 2014-2020) și Programul operațional Infrastructură mare 2014-2020( POIM 2014-2020)</w:t>
            </w:r>
            <w:r>
              <w:t xml:space="preserve"> prevede acordarea unui sprijin financiar pentru elaborarea documentațiilor </w:t>
            </w:r>
            <w:proofErr w:type="spellStart"/>
            <w:r>
              <w:t>tehnico</w:t>
            </w:r>
            <w:proofErr w:type="spellEnd"/>
            <w:r>
              <w:t>-economice nec</w:t>
            </w:r>
            <w:r>
              <w:t>esare pregătirii unor proiecte prioritare de infrastructură, finanțabile din fonduri europene acordate României în perioada de programare 2021- 2027, în cadrul Politicii de Coeziune.</w:t>
            </w:r>
          </w:p>
          <w:p w14:paraId="2BC60713" w14:textId="77777777" w:rsidR="00A002D7" w:rsidRDefault="00C91810">
            <w:pPr>
              <w:spacing w:before="120" w:after="120"/>
              <w:jc w:val="both"/>
            </w:pPr>
            <w:r>
              <w:t>Având în vedere că domeniul sănătății publice, obiectiv de interes social</w:t>
            </w:r>
            <w:r>
              <w:t xml:space="preserve"> major, a fost identificat ca prioritar pentru investițiile din fonduri externe nerambursabile și, în consecință, pentru perioada de programare 2021-2027, Guvernul României a decis crearea unui Program Operațional dedicat.</w:t>
            </w:r>
          </w:p>
          <w:p w14:paraId="670A1CEC" w14:textId="77777777" w:rsidR="00A002D7" w:rsidRDefault="00C91810">
            <w:pPr>
              <w:spacing w:before="120" w:after="120"/>
              <w:jc w:val="both"/>
            </w:pPr>
            <w:r>
              <w:t>Ținând cont că proiectul Programu</w:t>
            </w:r>
            <w:r>
              <w:t xml:space="preserve">lui Operațional Sănătate 2021-2027 prevede, în conformitate cu proiectul de Regulament General ale CE, implementarea unor operațiuni de importanță strategică (OIS) ce vizează, în principal, realizarea unor infrastructuri și a unor activități de anvergură, </w:t>
            </w:r>
            <w:r>
              <w:t xml:space="preserve">complexe în domeniile cercetării și digitalizării, similare cu cele din domeniul transporturilor, prin dezvoltarea unor proiecte cu acoperire și adresabilitate națională.         </w:t>
            </w:r>
          </w:p>
          <w:p w14:paraId="0A046C58" w14:textId="77777777" w:rsidR="00A002D7" w:rsidRDefault="00C91810">
            <w:pPr>
              <w:spacing w:before="120" w:after="120"/>
              <w:jc w:val="both"/>
            </w:pPr>
            <w:r>
              <w:t>La data de 15 aprilie 2020,  Guvernul României a adoptat Memorandumul cu tem</w:t>
            </w:r>
            <w:r>
              <w:t xml:space="preserve">a: </w:t>
            </w:r>
            <w:r>
              <w:rPr>
                <w:i/>
              </w:rPr>
              <w:t xml:space="preserve">”Stabilirea unor măsuri pentru sprijinul proiectelor mari de cercetare în domeniul sănătății”, stabilind astfel </w:t>
            </w:r>
            <w:r>
              <w:t xml:space="preserve">importanța finanțării cu prioritate a unor astfel de intervenții majore. </w:t>
            </w:r>
          </w:p>
          <w:p w14:paraId="66BD20F1" w14:textId="77777777" w:rsidR="00A002D7" w:rsidRDefault="00C91810">
            <w:pPr>
              <w:jc w:val="both"/>
            </w:pPr>
            <w:r>
              <w:t>Ținând cont de faptul că pregătirea, elaborarea și aprobarea docume</w:t>
            </w:r>
            <w:r>
              <w:t xml:space="preserve">ntațiilor </w:t>
            </w:r>
            <w:proofErr w:type="spellStart"/>
            <w:r>
              <w:t>tehnico</w:t>
            </w:r>
            <w:proofErr w:type="spellEnd"/>
            <w:r>
              <w:t>-economice pentru proiectele de infrastructură din domenii de importanță strategică pentru România, precum cel al sănătății, necesită perioade de timp de aproximativ 2-3 ani, elaborarea acestora trebuie demarată anterior aprobării programe</w:t>
            </w:r>
            <w:r>
              <w:t xml:space="preserve">lor operaționale (pentru perioada de programare 2021-2027) pentru a se asigura, </w:t>
            </w:r>
            <w:proofErr w:type="spellStart"/>
            <w:r>
              <w:t>ȋn</w:t>
            </w:r>
            <w:proofErr w:type="spellEnd"/>
            <w:r>
              <w:t xml:space="preserve"> timp util, un portofoliu de proiecte cât mai matur pentru a se diminua astfel  riscul de dezangajare la sfârșitul anului 2023.</w:t>
            </w:r>
          </w:p>
          <w:p w14:paraId="00A5A781" w14:textId="77777777" w:rsidR="00A002D7" w:rsidRDefault="00C91810">
            <w:pPr>
              <w:jc w:val="both"/>
            </w:pPr>
            <w:r>
              <w:t>In acest context, în scopul susținerii pregăti</w:t>
            </w:r>
            <w:r>
              <w:t xml:space="preserve">rii într-un termen optim a proiectelor, este necesară alocarea unor fonduri dedicate din POAT 2014-2020. </w:t>
            </w:r>
          </w:p>
          <w:p w14:paraId="6E17AD31" w14:textId="77777777" w:rsidR="00A002D7" w:rsidRDefault="00C91810">
            <w:pPr>
              <w:jc w:val="both"/>
            </w:pPr>
            <w:r>
              <w:t>Având în vedere urgența în adoptarea de către statele membre a actelor juridice care sa permită accesarea fondurilor aferente Mecanismului de Redresar</w:t>
            </w:r>
            <w:r>
              <w:t>e și Reziliență, dar și faptul că proiectele de infrastructură de transport sunt investiții publice de importanță strategică pentru România, iar întârzierea implementării acestora are impact direct asupra pierderii de sume alocate României atât prin Progra</w:t>
            </w:r>
            <w:r>
              <w:t xml:space="preserve">mul Operațional Infrastructură Mare, dar și prin Mecanismul </w:t>
            </w:r>
            <w:r>
              <w:lastRenderedPageBreak/>
              <w:t>de Redresare și Reziliență, se impune reglementarea în regim de urgență a unor măsuri pentru diminuarea acestei categorii de risc.</w:t>
            </w:r>
          </w:p>
          <w:p w14:paraId="1D5C2CE3" w14:textId="77777777" w:rsidR="00A002D7" w:rsidRDefault="00C91810">
            <w:pPr>
              <w:jc w:val="both"/>
            </w:pPr>
            <w:r>
              <w:tab/>
            </w:r>
          </w:p>
          <w:p w14:paraId="7432B7AF" w14:textId="77777777" w:rsidR="00A002D7" w:rsidRDefault="00C91810">
            <w:pPr>
              <w:jc w:val="both"/>
            </w:pPr>
            <w:r>
              <w:t>Având în vedere că perioada de elaborarea a Planului național d</w:t>
            </w:r>
            <w:r>
              <w:t xml:space="preserve">e redresare și reziliență este relativ scurtă, iar pentru proiectele de investiții în domeniul transporturilor este necesară actualizarea/elaborarea de urgență a documentațiilor </w:t>
            </w:r>
            <w:proofErr w:type="spellStart"/>
            <w:r>
              <w:t>tehnico</w:t>
            </w:r>
            <w:proofErr w:type="spellEnd"/>
            <w:r>
              <w:t>-economice astfel încât să poată fi contractate și implementate până la</w:t>
            </w:r>
            <w:r>
              <w:t xml:space="preserve"> termenul prevăzut în </w:t>
            </w:r>
            <w:proofErr w:type="spellStart"/>
            <w:r>
              <w:t>draftul</w:t>
            </w:r>
            <w:proofErr w:type="spellEnd"/>
            <w:r>
              <w:t xml:space="preserve"> de Regulament al Comisiei Europene, respectiv până la data de 31.12.2022 să fie contractate 70% din valoarea granturilor și diferența până la data de 31.12.2023.</w:t>
            </w:r>
          </w:p>
          <w:p w14:paraId="58BDAFC1" w14:textId="77777777" w:rsidR="00A002D7" w:rsidRDefault="00C91810">
            <w:pPr>
              <w:jc w:val="both"/>
            </w:pPr>
            <w:r>
              <w:t>Având în vedere că pentru a se încadra în termenele foarte strân</w:t>
            </w:r>
            <w:r>
              <w:t xml:space="preserve">se prevăzute în </w:t>
            </w:r>
            <w:proofErr w:type="spellStart"/>
            <w:r>
              <w:t>draftul</w:t>
            </w:r>
            <w:proofErr w:type="spellEnd"/>
            <w:r>
              <w:t xml:space="preserve"> de Regulament, beneficiarii principali ai MRR, CFR și CNAIR sunt pregătite la acest moment să lanseze proceduri de achiziție publică, dar, pentru a putea demara achizițiile, este necesară asigurarea prin bugetul MTIC a fondurilor ne</w:t>
            </w:r>
            <w:r>
              <w:t>cesare investițiilor aferente MRR, similar proiectelor finanțate din POIM.</w:t>
            </w:r>
          </w:p>
          <w:p w14:paraId="000C70A2" w14:textId="77777777" w:rsidR="00A002D7" w:rsidRDefault="00A002D7">
            <w:pPr>
              <w:jc w:val="both"/>
            </w:pPr>
          </w:p>
          <w:p w14:paraId="7849B171" w14:textId="77777777" w:rsidR="00A002D7" w:rsidRDefault="00C91810">
            <w:pPr>
              <w:jc w:val="both"/>
            </w:pPr>
            <w:r>
              <w:t>Prin urmare, este necesară adoptarea unor măsuri legislative urgente care să permită asigurarea fluxului financiar necesar implementării proiectelor de investiții din domeniul infr</w:t>
            </w:r>
            <w:r>
              <w:t>astructurii de transport, respectiv asigurarea fondurilor necesare lansării achizițiilor publice sau implementării proiectelor de infrastructura de transport incluse în Planul de Redresare și Reziliența.</w:t>
            </w:r>
          </w:p>
          <w:p w14:paraId="3E293DE7" w14:textId="77777777" w:rsidR="00A002D7" w:rsidRDefault="00A002D7">
            <w:pPr>
              <w:jc w:val="both"/>
            </w:pPr>
          </w:p>
          <w:p w14:paraId="4F38A627" w14:textId="77777777" w:rsidR="00A002D7" w:rsidRDefault="00C91810">
            <w:pPr>
              <w:jc w:val="both"/>
            </w:pPr>
            <w:r>
              <w:t>Deoarece întârzierea implementării proiectelor de i</w:t>
            </w:r>
            <w:r>
              <w:t>nfrastructură are impact direct asupra pierderii de sume alocate României prin Facilitatea de Recuperare și Reziliență/RRF iar pentru proiectele de investiții alocate sectorului de transport,  suma este de aproximativ 10 miliarde de euro  se impune regleme</w:t>
            </w:r>
            <w:r>
              <w:t>ntarea în regim de urgență a unor măsuri pentru diminuarea acestei categorii de risc.</w:t>
            </w:r>
          </w:p>
          <w:p w14:paraId="4B4AFAD6" w14:textId="77777777" w:rsidR="00A002D7" w:rsidRDefault="00A002D7">
            <w:pPr>
              <w:jc w:val="both"/>
            </w:pPr>
          </w:p>
          <w:p w14:paraId="1685C753" w14:textId="77777777" w:rsidR="00A002D7" w:rsidRDefault="00C91810">
            <w:pPr>
              <w:jc w:val="both"/>
            </w:pPr>
            <w:r>
              <w:t>În scopul limitării efectelor negative determinate de limitarea sau întreruperea activităților socioeconomice se impune adoptarea în regim de urgență a unor măsuri de su</w:t>
            </w:r>
            <w:r>
              <w:t>sținere pentru categoriile de beneficiari cele mai expuse riscului, în vederea asigurării un flux suplimentar de numerar, necesar constituirii de stocuri de materii prime și echipamente aferente angajamentelor legale în curs de implementare, cât și a reduc</w:t>
            </w:r>
            <w:r>
              <w:t xml:space="preserve">erii riscurilor legate de o serie de obligații legale cu termen redus de exigibilitate în contextul necesității de concentrare a resurselor umane în vederea asigurării continuității activității. </w:t>
            </w:r>
          </w:p>
          <w:p w14:paraId="253C7DFE" w14:textId="77777777" w:rsidR="00A002D7" w:rsidRDefault="00C91810">
            <w:pPr>
              <w:jc w:val="both"/>
            </w:pPr>
            <w:r>
              <w:t>Flexibilizarea termenelor și condițiilor procedurale stabili</w:t>
            </w:r>
            <w:r>
              <w:t xml:space="preserve">te prin Ordonanța de urgență a Guvernului nr. 40/2015, se aplică pentru toate cererile de </w:t>
            </w:r>
            <w:proofErr w:type="spellStart"/>
            <w:r>
              <w:t>prefinanțare</w:t>
            </w:r>
            <w:proofErr w:type="spellEnd"/>
            <w:r>
              <w:t>, cererile de plată și cererile de rambursare transmise și înregistrate la autoritatea de management/organismul intermediar până cel târziu 31 decembrie 2</w:t>
            </w:r>
            <w:r>
              <w:t>021. Începutul termenelor menționate în proiectul de OUG trebuie să fie înainte de 31 decembrie 2021, putând continua să curgă în 2022, până la atingerea limitei maxime stabilite pentru fiecare termen.</w:t>
            </w:r>
          </w:p>
          <w:p w14:paraId="1CBA2DA7" w14:textId="77777777" w:rsidR="00A002D7" w:rsidRDefault="00A002D7">
            <w:pPr>
              <w:jc w:val="both"/>
            </w:pPr>
          </w:p>
          <w:p w14:paraId="2D7611DF" w14:textId="77777777" w:rsidR="00A002D7" w:rsidRDefault="00C91810">
            <w:pPr>
              <w:jc w:val="both"/>
            </w:pPr>
            <w:r>
              <w:t>Având în vedere că elementele sus menționate vizează interesul public și strategic, sunt o prioritate a Programului de guvernare și constituie o situație de urgență și extraordinară, a cărei reglementare nu poate fi amânată, se impune adoptarea de măsuri i</w:t>
            </w:r>
            <w:r>
              <w:t>mediate pe calea ordonanței de urgență.</w:t>
            </w:r>
          </w:p>
          <w:p w14:paraId="25986650" w14:textId="77777777" w:rsidR="00A002D7" w:rsidRDefault="00A002D7">
            <w:pPr>
              <w:jc w:val="both"/>
            </w:pPr>
          </w:p>
          <w:p w14:paraId="6299DDC8" w14:textId="77777777" w:rsidR="00A002D7" w:rsidRDefault="00C91810">
            <w:pPr>
              <w:jc w:val="both"/>
            </w:pPr>
            <w:r>
              <w:t>În vederea asigurării fluxurilor financiare necesare implementării proiectelor, Ordonanța de urgentă nr. 156/2020 privind unele măsuri pentru susținerea dezvoltării teritoriale a localităților urbane și rurale din R</w:t>
            </w:r>
            <w:r>
              <w:t xml:space="preserve">omânia  cu finanțare din fonduri externe nerambursabile prevede că pentru proiectele finanțate din fonduri externe nerambursabile, cheltuielile neeligibile care nu </w:t>
            </w:r>
            <w:r>
              <w:lastRenderedPageBreak/>
              <w:t>sunt rezultatul unor fraude sau nereguli constatate ca urmare a unor abateri de la prevederi</w:t>
            </w:r>
            <w:r>
              <w:t>le legislației europene sau naționale aplicabile sunt prevăzute ca și cheltuieli eligibile în regulamentele europene aplicabile, fiind încadrate ca și cheltuieli neeligibile prin regulile stabilite la nivelul ghidului solicitantului și sunt necesare proiec</w:t>
            </w:r>
            <w:r>
              <w:t>tului, fiind prevăzute în bugetul proiectului ca și cheltuieli neeligibile, se suportă de la bugetul de stat în procent de 75% din valoarea plăților efectuate și se stabilesc în sarcina autorităților de management. Prevederile se aplică unităților administ</w:t>
            </w:r>
            <w:r>
              <w:t>rativ teritoriale urbane din regiuni mai puțin dezvoltate ale României.</w:t>
            </w:r>
          </w:p>
          <w:p w14:paraId="43DE2FE0" w14:textId="77777777" w:rsidR="00A002D7" w:rsidRDefault="00A002D7">
            <w:pPr>
              <w:jc w:val="both"/>
            </w:pPr>
          </w:p>
          <w:p w14:paraId="3DDF85A2" w14:textId="77777777" w:rsidR="00A002D7" w:rsidRDefault="00C91810">
            <w:pPr>
              <w:jc w:val="both"/>
            </w:pPr>
            <w:r>
              <w:t>Ordonanța de urgență a Guvernului nr. 52/2020 pentru modificarea art. 29^3 alin. (2) din Ordonanța de urgență a Guvernului nr. 40/2015 privind gestionarea financiară a fondurilor euro</w:t>
            </w:r>
            <w:r>
              <w:t xml:space="preserve">pene pentru perioada de programare 2014-2020, precum </w:t>
            </w:r>
            <w:proofErr w:type="spellStart"/>
            <w:r>
              <w:t>şi</w:t>
            </w:r>
            <w:proofErr w:type="spellEnd"/>
            <w:r>
              <w:t xml:space="preserve"> pentru adoptarea unor măsuri privind beneficiarii de fonduri europene în contextul răspândirii COVID-19, a fost publicată în Monitorul Oficial al României, Partea I nr. 325 din 21 aprilie 2020 și apro</w:t>
            </w:r>
            <w:r>
              <w:t>bată prin Legea nr. 180/2020.</w:t>
            </w:r>
          </w:p>
          <w:p w14:paraId="431668D9" w14:textId="77777777" w:rsidR="00A002D7" w:rsidRDefault="00C91810">
            <w:pPr>
              <w:jc w:val="both"/>
            </w:pPr>
            <w:r>
              <w:t xml:space="preserve">Prin actul normativ sus-menționat s-a aprobat flexibilizarea termenelor și condițiilor procedurale stabilite prin Ordonanța de urgență a Guvernului nr. 40/2015 și se aplică pentru toate cererile de </w:t>
            </w:r>
            <w:proofErr w:type="spellStart"/>
            <w:r>
              <w:t>prefinanțare</w:t>
            </w:r>
            <w:proofErr w:type="spellEnd"/>
            <w:r>
              <w:t>, cererile de pl</w:t>
            </w:r>
            <w:r>
              <w:t>ată și cererile de rambursare transmise și înregistrate la autoritatea de management/organismul intermediar până cel târziu 31 decembrie 2020.</w:t>
            </w:r>
          </w:p>
          <w:p w14:paraId="4DC1343C" w14:textId="77777777" w:rsidR="00A002D7" w:rsidRDefault="00C91810">
            <w:pPr>
              <w:widowControl w:val="0"/>
              <w:spacing w:before="120" w:after="120"/>
              <w:jc w:val="both"/>
            </w:pPr>
            <w:r>
              <w:t>În data de 5 noiembrie 2020 Comitetul pentru Situații de Urgență a emis HG nr. 52/2020 privind stabilirea unor mă</w:t>
            </w:r>
            <w:r>
              <w:t xml:space="preserve">suri suplimentare necesar a fi aplicate pentru prevenirea </w:t>
            </w:r>
            <w:proofErr w:type="spellStart"/>
            <w:r>
              <w:t>şi</w:t>
            </w:r>
            <w:proofErr w:type="spellEnd"/>
            <w:r>
              <w:t xml:space="preserve"> combaterea efectelor pandemiei de COVID-19. Una din măsurile aprobate prin acest act normativ vizează obligația organizării activității </w:t>
            </w:r>
            <w:proofErr w:type="spellStart"/>
            <w:r>
              <w:t>şi</w:t>
            </w:r>
            <w:proofErr w:type="spellEnd"/>
            <w:r>
              <w:t xml:space="preserve"> desfășurării programului de lucru în regim de </w:t>
            </w:r>
            <w:proofErr w:type="spellStart"/>
            <w:r>
              <w:t>telemuncă</w:t>
            </w:r>
            <w:proofErr w:type="spellEnd"/>
            <w:r>
              <w:t>,</w:t>
            </w:r>
            <w:r>
              <w:t xml:space="preserve">  măsură ce va conduce la reducerea capacității resurselor umane, atât în ceea ce privește activitatea sistemului de management </w:t>
            </w:r>
            <w:proofErr w:type="spellStart"/>
            <w:r>
              <w:t>şi</w:t>
            </w:r>
            <w:proofErr w:type="spellEnd"/>
            <w:r>
              <w:t xml:space="preserve"> control al fondurilor externe nerambursabile, respectiv autorități de management, organisme intermediare etc., cât </w:t>
            </w:r>
            <w:proofErr w:type="spellStart"/>
            <w:r>
              <w:t>şi</w:t>
            </w:r>
            <w:proofErr w:type="spellEnd"/>
            <w:r>
              <w:t xml:space="preserve"> a benef</w:t>
            </w:r>
            <w:r>
              <w:t xml:space="preserve">iciarilor publici </w:t>
            </w:r>
            <w:proofErr w:type="spellStart"/>
            <w:r>
              <w:t>şi</w:t>
            </w:r>
            <w:proofErr w:type="spellEnd"/>
            <w:r>
              <w:t xml:space="preserve"> privați ai proiectelor.</w:t>
            </w:r>
          </w:p>
          <w:p w14:paraId="07FDAEC1" w14:textId="77777777" w:rsidR="00A002D7" w:rsidRDefault="00A002D7">
            <w:pPr>
              <w:jc w:val="both"/>
            </w:pPr>
          </w:p>
        </w:tc>
      </w:tr>
      <w:tr w:rsidR="00A002D7" w14:paraId="56C8604E" w14:textId="77777777">
        <w:tc>
          <w:tcPr>
            <w:tcW w:w="1440" w:type="dxa"/>
          </w:tcPr>
          <w:p w14:paraId="05E211AA" w14:textId="77777777" w:rsidR="00A002D7" w:rsidRDefault="00C91810">
            <w:pPr>
              <w:jc w:val="both"/>
            </w:pPr>
            <w:r>
              <w:lastRenderedPageBreak/>
              <w:t>1</w:t>
            </w:r>
            <w:r>
              <w:rPr>
                <w:vertAlign w:val="superscript"/>
              </w:rPr>
              <w:t>1</w:t>
            </w:r>
            <w:r>
              <w:t xml:space="preserve"> În cazul actelor normative care transpun </w:t>
            </w:r>
            <w:proofErr w:type="spellStart"/>
            <w:r>
              <w:t>legislaţie</w:t>
            </w:r>
            <w:proofErr w:type="spellEnd"/>
            <w:r>
              <w:t xml:space="preserve"> comunitară sau creează cadrul pentru aplicarea directă a acesteia.</w:t>
            </w:r>
          </w:p>
        </w:tc>
        <w:tc>
          <w:tcPr>
            <w:tcW w:w="9260" w:type="dxa"/>
          </w:tcPr>
          <w:p w14:paraId="4CCC5AE8" w14:textId="77777777" w:rsidR="00A002D7" w:rsidRDefault="00C91810">
            <w:pPr>
              <w:spacing w:before="120" w:after="120"/>
              <w:jc w:val="both"/>
            </w:pPr>
            <w:r>
              <w:t>Proiectul de act normativ nu se referă la acest subiect.</w:t>
            </w:r>
          </w:p>
        </w:tc>
      </w:tr>
      <w:tr w:rsidR="00A002D7" w14:paraId="36324EFC" w14:textId="77777777">
        <w:trPr>
          <w:trHeight w:val="983"/>
        </w:trPr>
        <w:tc>
          <w:tcPr>
            <w:tcW w:w="1440" w:type="dxa"/>
          </w:tcPr>
          <w:p w14:paraId="60236AFF" w14:textId="77777777" w:rsidR="00A002D7" w:rsidRDefault="00C91810">
            <w:pPr>
              <w:jc w:val="both"/>
            </w:pPr>
            <w:r>
              <w:t>2.Schimbări preconizate</w:t>
            </w:r>
          </w:p>
        </w:tc>
        <w:tc>
          <w:tcPr>
            <w:tcW w:w="9260" w:type="dxa"/>
          </w:tcPr>
          <w:p w14:paraId="49CCB099" w14:textId="77777777" w:rsidR="00A002D7" w:rsidRDefault="00C91810">
            <w:pPr>
              <w:spacing w:before="120" w:after="120"/>
              <w:jc w:val="both"/>
            </w:pPr>
            <w:r>
              <w:t>În ceea ce privește domeniul sănătății, este necesară pe de o parte introducerea sănătății, domeniul de interes major, în cadrul domeniilor pentru care se acordă sprijin financiar din cadrul POAT 2014-2020 pentru pregătirea document</w:t>
            </w:r>
            <w:r>
              <w:t xml:space="preserve">ațiilor </w:t>
            </w:r>
            <w:proofErr w:type="spellStart"/>
            <w:r>
              <w:t>tehnico</w:t>
            </w:r>
            <w:proofErr w:type="spellEnd"/>
            <w:r>
              <w:t>-economice aferente iar pe de altă parte, ținând cont de complexitatea domeniului, este necesară clarificarea  categoriilor de beneficiari, clarificarea tipurilor de activități care urmează a fi finanțate precum și clarificarea modalității î</w:t>
            </w:r>
            <w:r>
              <w:t xml:space="preserve">n care resursele financiare necesare pregătirii documentațiilor </w:t>
            </w:r>
            <w:proofErr w:type="spellStart"/>
            <w:r>
              <w:t>tehnico</w:t>
            </w:r>
            <w:proofErr w:type="spellEnd"/>
            <w:r>
              <w:t xml:space="preserve">-economice/proiectelor, vor fi asigurate. </w:t>
            </w:r>
          </w:p>
          <w:p w14:paraId="4C9FB001" w14:textId="77777777" w:rsidR="00A002D7" w:rsidRDefault="00C91810">
            <w:pPr>
              <w:spacing w:before="120" w:after="120"/>
              <w:jc w:val="both"/>
            </w:pPr>
            <w:r>
              <w:lastRenderedPageBreak/>
              <w:t>Ținând cont de resursele limitate disponibile în cadrul PNRR și de nevoile aferente domeniilor care vor fi sprijinite prin intermediul acestei</w:t>
            </w:r>
            <w:r>
              <w:t xml:space="preserve"> facilități, a fost necesară restrângerea obligativității solicitării la rambursare a cheltuielilor necesare pregătirii/actualizării documentațiilor tehnice, doar pentru beneficiarii ale căror proiecte vor fi implementate </w:t>
            </w:r>
            <w:proofErr w:type="spellStart"/>
            <w:r>
              <w:rPr>
                <w:color w:val="000000"/>
              </w:rPr>
              <w:t>ȋn</w:t>
            </w:r>
            <w:proofErr w:type="spellEnd"/>
            <w:r>
              <w:rPr>
                <w:color w:val="000000"/>
              </w:rPr>
              <w:t xml:space="preserve"> cadrul Mecanismului de Redresare și Reziliență</w:t>
            </w:r>
            <w:r>
              <w:t xml:space="preserve">. </w:t>
            </w:r>
          </w:p>
          <w:p w14:paraId="252FE8B6" w14:textId="77777777" w:rsidR="00A002D7" w:rsidRDefault="00C91810">
            <w:pPr>
              <w:jc w:val="both"/>
            </w:pPr>
            <w:r>
              <w:t>Având în vedere urgență în adoptarea de către statele membre a actelor juridice care sa permită accesarea fondurilor aferente Mecanismului de Redresare și Reziliență, dar și faptul că proiectele de infras</w:t>
            </w:r>
            <w:r>
              <w:t>tructură de transport sunt investiții publice de importanță strategică pentru România, iar întârzierea implementării acestora are impact direct asupra pierderii de sume alocate României atât prin Programul Operațional Infrastructură Mare, dar și prin Mecan</w:t>
            </w:r>
            <w:r>
              <w:t>ismul de Redresare și Reziliență, se impune reglementarea în regim de urgență a unor măsuri pentru diminuarea acestei categorii de risc.</w:t>
            </w:r>
          </w:p>
          <w:p w14:paraId="39FF597F" w14:textId="77777777" w:rsidR="00A002D7" w:rsidRDefault="00C91810">
            <w:pPr>
              <w:jc w:val="both"/>
            </w:pPr>
            <w:r>
              <w:tab/>
            </w:r>
          </w:p>
          <w:p w14:paraId="14192CA3" w14:textId="77777777" w:rsidR="00A002D7" w:rsidRDefault="00C91810">
            <w:pPr>
              <w:jc w:val="both"/>
            </w:pPr>
            <w:r>
              <w:t>Având în vedere că perioada de elaborarea a Planului național de redresare și reziliență este relativ scurtă, iar pen</w:t>
            </w:r>
            <w:r>
              <w:t xml:space="preserve">tru proiectele de investiții în domeniul transporturilor este necesară actualizarea/elaborarea de urgență a documentațiilor </w:t>
            </w:r>
            <w:proofErr w:type="spellStart"/>
            <w:r>
              <w:t>tehnico</w:t>
            </w:r>
            <w:proofErr w:type="spellEnd"/>
            <w:r>
              <w:t xml:space="preserve">-economice astfel încât să poată fi contractate și implementate până la termenul prevăzut în </w:t>
            </w:r>
            <w:proofErr w:type="spellStart"/>
            <w:r>
              <w:t>draftul</w:t>
            </w:r>
            <w:proofErr w:type="spellEnd"/>
            <w:r>
              <w:t xml:space="preserve"> de Regulament al Comisie</w:t>
            </w:r>
            <w:r>
              <w:t>i Europene, respectiv până la data de 31.12.2022 să fie contractate 70% din valoarea granturilor și diferența până la data de 31.12.2023.</w:t>
            </w:r>
          </w:p>
          <w:p w14:paraId="24D23857" w14:textId="77777777" w:rsidR="00A002D7" w:rsidRDefault="00C91810">
            <w:pPr>
              <w:jc w:val="both"/>
            </w:pPr>
            <w:r>
              <w:t xml:space="preserve">Având în vedere că pentru a se încadra în termenele foarte strânse prevăzute în </w:t>
            </w:r>
            <w:proofErr w:type="spellStart"/>
            <w:r>
              <w:t>draftul</w:t>
            </w:r>
            <w:proofErr w:type="spellEnd"/>
            <w:r>
              <w:t xml:space="preserve"> de Regulament, beneficiarii pr</w:t>
            </w:r>
            <w:r>
              <w:t>incipali ai MRR, CFR si CNAIR sunt pregătite la acest moment să lanseze proceduri de achiziție publica, dar, pentru a putea demara achizițiile, este necesara asigurarea prin bugetul MTIC a fondurilor necesare investițiilor aferente MRR, similar proiectelor</w:t>
            </w:r>
            <w:r>
              <w:t xml:space="preserve"> finanțate din POIM.</w:t>
            </w:r>
          </w:p>
          <w:p w14:paraId="2FC83441" w14:textId="77777777" w:rsidR="00A002D7" w:rsidRDefault="00A002D7">
            <w:pPr>
              <w:jc w:val="both"/>
            </w:pPr>
          </w:p>
          <w:p w14:paraId="2E896281" w14:textId="77777777" w:rsidR="00A002D7" w:rsidRDefault="00C91810">
            <w:pPr>
              <w:jc w:val="both"/>
            </w:pPr>
            <w:r>
              <w:t>Prin urmare, este necesară adoptarea unor măsuri legislative urgente care să permită asigurarea fluxului financiar necesar implementării proiectelor de investiții din domeniul infrastructurii de transport, respectiv asigurarea fonduri</w:t>
            </w:r>
            <w:r>
              <w:t>lor necesare lansării achizițiilor publice sau implementării proiectelor de infrastructura de transport incluse în Planul de Redresare și Reziliența.</w:t>
            </w:r>
          </w:p>
          <w:p w14:paraId="6794ADE0" w14:textId="77777777" w:rsidR="00A002D7" w:rsidRDefault="00A002D7">
            <w:pPr>
              <w:jc w:val="both"/>
            </w:pPr>
          </w:p>
          <w:p w14:paraId="4DDF615C" w14:textId="77777777" w:rsidR="00A002D7" w:rsidRDefault="00C91810">
            <w:pPr>
              <w:jc w:val="both"/>
            </w:pPr>
            <w:r>
              <w:t>Deoarece întârzierea implementării proiectelor de infrastructură are impact direct asupra pierderii de su</w:t>
            </w:r>
            <w:r>
              <w:t>me alocate României prin Facilitatea de Recuperare și Reziliență/RRF iar pentru proiectele de investiții alocate sectorului de transport,  suma este de aproximativ 10 miliarde de euro  se impune reglementarea în regim de urgență a unor măsuri pentru diminu</w:t>
            </w:r>
            <w:r>
              <w:t>area acestei categorii de risc,</w:t>
            </w:r>
          </w:p>
          <w:p w14:paraId="0DA6F159" w14:textId="77777777" w:rsidR="00A002D7" w:rsidRDefault="00A002D7">
            <w:pPr>
              <w:jc w:val="both"/>
            </w:pPr>
          </w:p>
          <w:p w14:paraId="58859E86" w14:textId="77777777" w:rsidR="00A002D7" w:rsidRDefault="00C91810">
            <w:pPr>
              <w:jc w:val="both"/>
              <w:rPr>
                <w:rFonts w:ascii="Trebuchet MS" w:eastAsia="Trebuchet MS" w:hAnsi="Trebuchet MS" w:cs="Trebuchet MS"/>
                <w:color w:val="000000"/>
                <w:sz w:val="22"/>
                <w:szCs w:val="22"/>
              </w:rPr>
            </w:pPr>
            <w:r>
              <w:t xml:space="preserve">Considerând solicitările primite de la unități administrativ teritoriale din județul Ilfov (adresa nr. 30883/459/2020 a Primăriei Orașului Chitila) de includere a acestora în cuprinsul Ordonanței de urgentă nr. 156/2020 </w:t>
            </w:r>
            <w:r>
              <w:rPr>
                <w:i/>
              </w:rPr>
              <w:t>pri</w:t>
            </w:r>
            <w:r>
              <w:rPr>
                <w:i/>
              </w:rPr>
              <w:t>vind unele măsuri pentru susținerea dezvoltării teritoriale a localităților urbane și rurale din România  cu finanțare din fonduri externe nerambursabile,</w:t>
            </w:r>
            <w:r>
              <w:t xml:space="preserve"> se impune reglementarea în regim de urgență a unor măsuri în scopul sprijinirii localităților urbane </w:t>
            </w:r>
            <w:r>
              <w:t>din județul Ilfov prin suportarea de la bugetul de stat, în procent de 75% din valoarea plăților efectuate, a cheltuielilor neeligibile aferente proiectelor cu finanțare din fonduri externe nerambursabile, care îndeplinesc cumulativ condițiile enumerate la</w:t>
            </w:r>
            <w:r>
              <w:t xml:space="preserve"> alin. (1) și la alin. (3) ale art. 7 din această ordonanță de urgență.  </w:t>
            </w:r>
          </w:p>
          <w:p w14:paraId="191F678E" w14:textId="77777777" w:rsidR="00A002D7" w:rsidRDefault="00C91810">
            <w:pPr>
              <w:jc w:val="both"/>
            </w:pPr>
            <w:r>
              <w:rPr>
                <w:color w:val="000000"/>
              </w:rPr>
              <w:t>Prin Nota de fundamentare a OUG nr. 156/2020 a fost stabilit un impact bugetar al acestei măsuri asupra bugetului general consolidat, urmare a schimbărilor anticipate în cheltuielile</w:t>
            </w:r>
            <w:r>
              <w:rPr>
                <w:color w:val="000000"/>
              </w:rPr>
              <w:t xml:space="preserve"> bugetare pentru anul curent și următorii 5 ani, în valoare de totală  de 450 milioane lei. Impactul </w:t>
            </w:r>
            <w:r>
              <w:rPr>
                <w:color w:val="000000"/>
              </w:rPr>
              <w:lastRenderedPageBreak/>
              <w:t xml:space="preserve">bugetar a fost estimat pentru </w:t>
            </w:r>
            <w:r>
              <w:t>proiectele implementate de toate localitățile urbane, inclusiv cele din județul Ilfov.</w:t>
            </w:r>
          </w:p>
          <w:p w14:paraId="64D46323" w14:textId="77777777" w:rsidR="00A002D7" w:rsidRDefault="00A002D7">
            <w:pPr>
              <w:jc w:val="both"/>
            </w:pPr>
          </w:p>
          <w:p w14:paraId="42EC2A87" w14:textId="77777777" w:rsidR="00A002D7" w:rsidRDefault="00C91810">
            <w:pPr>
              <w:spacing w:before="120" w:after="120"/>
              <w:jc w:val="both"/>
            </w:pPr>
            <w:r>
              <w:t>Elementele sus menționate vizează int</w:t>
            </w:r>
            <w:r>
              <w:t xml:space="preserve">eresul public și strategic, sunt o prioritate a Programului de guvernare și constituie o situație de urgență și extraordinară, a cărei reglementare nu poate fi amânată pentru a asigura premisele unui grad ridicat de absorbție în perioada 2021-2027 și a nu </w:t>
            </w:r>
            <w:r>
              <w:t xml:space="preserve">genera întârzieri în implementarea proiectelor de infrastructură din POS 2021-2027 menționate mai sus. </w:t>
            </w:r>
          </w:p>
          <w:p w14:paraId="79285DB3" w14:textId="77777777" w:rsidR="00A002D7" w:rsidRDefault="00C91810">
            <w:pPr>
              <w:spacing w:before="120" w:after="120"/>
              <w:jc w:val="both"/>
            </w:pPr>
            <w:r>
              <w:t>Amânarea adoptării măsurilor propuse ar aduce grave prejudicii, cu efecte pe termen lung asupra pregătirii și implementării proiectelor strategice menți</w:t>
            </w:r>
            <w:r>
              <w:t>onate din POS 2021-2027.</w:t>
            </w:r>
          </w:p>
          <w:p w14:paraId="1C9F8202" w14:textId="77777777" w:rsidR="00A002D7" w:rsidRDefault="00C91810">
            <w:pPr>
              <w:spacing w:before="120" w:after="120"/>
              <w:jc w:val="both"/>
            </w:pPr>
            <w:r>
              <w:t>Având în vedere necesitate corelării documentației naționale cu propunerea de regulament elaborată la nivelul UE, prin prezenta ordonanță de urgență, este necesar a se înlocui termenul ”relansare” cu ”redresare” în denumirea Planul</w:t>
            </w:r>
            <w:r>
              <w:t>ui național de relansare și reziliență.</w:t>
            </w:r>
          </w:p>
          <w:p w14:paraId="2E4B4272" w14:textId="77777777" w:rsidR="00A002D7" w:rsidRDefault="00C91810">
            <w:pPr>
              <w:spacing w:before="120" w:after="120"/>
              <w:jc w:val="both"/>
            </w:pPr>
            <w:r>
              <w:t xml:space="preserve">În plus, având în vedere faptul că fondurile necesare pentru elaborarea documentației </w:t>
            </w:r>
            <w:proofErr w:type="spellStart"/>
            <w:r>
              <w:t>tehnico</w:t>
            </w:r>
            <w:proofErr w:type="spellEnd"/>
            <w:r>
              <w:t>-economice pentru proiectele de investiții care se vor finanța din PNRR, se asigură de la bugetul de stat, se impune definirea mecanismului financiar pentru utiliz</w:t>
            </w:r>
            <w:r>
              <w:t>area acestor fonduri.</w:t>
            </w:r>
          </w:p>
          <w:p w14:paraId="1840E057" w14:textId="77777777" w:rsidR="00A002D7" w:rsidRDefault="00C91810">
            <w:pPr>
              <w:spacing w:before="120" w:after="120"/>
              <w:jc w:val="both"/>
            </w:pPr>
            <w:r>
              <w:t xml:space="preserve">Astfel, se supune aprobării finanțarea facilității „Fondul pentru elaborarea documentațiilor </w:t>
            </w:r>
            <w:proofErr w:type="spellStart"/>
            <w:r>
              <w:t>tehnico</w:t>
            </w:r>
            <w:proofErr w:type="spellEnd"/>
            <w:r>
              <w:t>-economice - FEDTE”, coordonată de către Ministerul Fondurilor Europene, având ca obiectiv general finanțarea elaborării și/sau actual</w:t>
            </w:r>
            <w:r>
              <w:t xml:space="preserve">izării documentațiilor </w:t>
            </w:r>
            <w:proofErr w:type="spellStart"/>
            <w:r>
              <w:t>tehnico</w:t>
            </w:r>
            <w:proofErr w:type="spellEnd"/>
            <w:r>
              <w:t>-economice aferente proiectelor ce vor fi depuse pentru finanțare în cadrul PNRR, cu implementare până la data de 30 iunie 2022. Cheltuielile eligibile finanțare în cadrul facilității FEDTE sunt asigurate în cuantum de 100% di</w:t>
            </w:r>
            <w:r>
              <w:t>n fonduri provenite din bugetul de stat.</w:t>
            </w:r>
          </w:p>
          <w:p w14:paraId="0BEB23AE" w14:textId="77777777" w:rsidR="00A002D7" w:rsidRDefault="00C91810">
            <w:pPr>
              <w:spacing w:before="120" w:after="120"/>
              <w:jc w:val="both"/>
            </w:pPr>
            <w:r>
              <w:t>Cu respectarea prevederilor Legii finanțelor publice nr. 500/2002, cu modificările și completările ulterioare, pentru beneficiarii finanțați integral din bugetul de stat, proiectele implementate în cadrul facilități</w:t>
            </w:r>
            <w:r>
              <w:t>i FEDTE se aprobă de către Guvern prin memorandum, la propunerea Ministerului Fondurilor Europene, iar creditele de angajament și creditele bugetare se cuprind în bugetul acestora, la un titlu distinct de cheltuieli bugetare.</w:t>
            </w:r>
          </w:p>
          <w:p w14:paraId="56C474EB" w14:textId="77777777" w:rsidR="00A002D7" w:rsidRDefault="00C91810">
            <w:pPr>
              <w:spacing w:before="120" w:after="120"/>
              <w:jc w:val="both"/>
            </w:pPr>
            <w:r>
              <w:t>Cu respectarea prevederilor le</w:t>
            </w:r>
            <w:r>
              <w:t>gislației naționale și a legislației Uniunii Europene privind ajutorul de stat, pentru următoarele categorii de beneficiari:</w:t>
            </w:r>
          </w:p>
          <w:p w14:paraId="49C649BD" w14:textId="77777777" w:rsidR="00A002D7" w:rsidRDefault="00C91810">
            <w:pPr>
              <w:spacing w:before="120" w:after="120"/>
              <w:jc w:val="both"/>
            </w:pPr>
            <w:r>
              <w:t>a)</w:t>
            </w:r>
            <w:r>
              <w:tab/>
              <w:t>ordonatori de credite ai bugetului local și instituții publice locale finanțate integral din venituri proprii și/sau finanțate p</w:t>
            </w:r>
            <w:r>
              <w:t>arțial de la bugetele locale;</w:t>
            </w:r>
          </w:p>
          <w:p w14:paraId="5707C6DA" w14:textId="77777777" w:rsidR="00A002D7" w:rsidRDefault="00C91810">
            <w:pPr>
              <w:spacing w:before="120" w:after="120"/>
              <w:jc w:val="both"/>
            </w:pPr>
            <w:r>
              <w:t>b)</w:t>
            </w:r>
            <w:r>
              <w:tab/>
              <w:t>instituții publice finanțate integral din venituri proprii și/sau finanțate parțial de la bugetul de stat, bugetul asigurărilor sociale de stat sau bugetele fondurilor speciale;</w:t>
            </w:r>
          </w:p>
          <w:p w14:paraId="60648850" w14:textId="77777777" w:rsidR="00A002D7" w:rsidRDefault="00C91810">
            <w:pPr>
              <w:spacing w:before="120" w:after="120"/>
              <w:jc w:val="both"/>
            </w:pPr>
            <w:r>
              <w:t>c)</w:t>
            </w:r>
            <w:r>
              <w:tab/>
              <w:t>beneficiari, alții decât instituții public</w:t>
            </w:r>
            <w:r>
              <w:t>e,</w:t>
            </w:r>
          </w:p>
          <w:p w14:paraId="0BCE4D37" w14:textId="77777777" w:rsidR="00A002D7" w:rsidRDefault="00C91810">
            <w:pPr>
              <w:spacing w:before="120" w:after="120"/>
              <w:jc w:val="both"/>
            </w:pPr>
            <w:r>
              <w:t>se cuprind în bugetul Ministerului Fondurilor Europene, la poziții distincte de transferuri sumele necesare finanțării cheltuielilor eligibile. Propunerile de credite de angajament și credite bugetare se stabilesc pe baza contractelor de finanțare și se</w:t>
            </w:r>
            <w:r>
              <w:t xml:space="preserve"> cuprind în bugetul acestora, la un titlu distinct de cheltuieli bugetare.</w:t>
            </w:r>
          </w:p>
          <w:p w14:paraId="0474FCE4" w14:textId="77777777" w:rsidR="00A002D7" w:rsidRDefault="00C91810">
            <w:pPr>
              <w:spacing w:before="120" w:after="120"/>
              <w:jc w:val="both"/>
            </w:pPr>
            <w:r>
              <w:t xml:space="preserve">Totodată, având în vedere discuțiile inițiate cu beneficiarii de proiecte de investiții care se vor finanța în cadrul PNRR, a reieșit necesitatea ca, pe lângă documentația </w:t>
            </w:r>
            <w:proofErr w:type="spellStart"/>
            <w:r>
              <w:t>tehnico</w:t>
            </w:r>
            <w:proofErr w:type="spellEnd"/>
            <w:r>
              <w:t>-e</w:t>
            </w:r>
            <w:r>
              <w:t>conomică elaborată conform etapelor prevăzute de HG 907/2016, să fie finanțate și alte categorii de studii și documentații pentru obținerea de avize/autorizații care sunt necesare pentru implementarea proiectelor din PNRR.</w:t>
            </w:r>
          </w:p>
          <w:p w14:paraId="17167C5D" w14:textId="77777777" w:rsidR="00A002D7" w:rsidRDefault="00C91810">
            <w:pPr>
              <w:spacing w:before="120" w:after="120"/>
              <w:jc w:val="both"/>
            </w:pPr>
            <w:r>
              <w:lastRenderedPageBreak/>
              <w:t>De asemenea, pentru asigurarea ca</w:t>
            </w:r>
            <w:r>
              <w:t>drului financiar al proiectelor aferente Mecanismului de Redresare și Reziliență, se propune completarea acesteia prin introducerea  unui nou articol, art. 2</w:t>
            </w:r>
            <w:r>
              <w:rPr>
                <w:vertAlign w:val="superscript"/>
              </w:rPr>
              <w:t>1</w:t>
            </w:r>
            <w:r>
              <w:t>, care să prevadă următoarele:</w:t>
            </w:r>
          </w:p>
          <w:p w14:paraId="54ADC4D7" w14:textId="77777777" w:rsidR="00A002D7" w:rsidRDefault="00C91810">
            <w:pPr>
              <w:spacing w:before="120" w:after="120"/>
              <w:jc w:val="both"/>
            </w:pPr>
            <w:r>
              <w:t>Art. 2</w:t>
            </w:r>
            <w:r>
              <w:rPr>
                <w:vertAlign w:val="superscript"/>
              </w:rPr>
              <w:t>1</w:t>
            </w:r>
            <w:r>
              <w:t xml:space="preserve"> În bugetul Ministerului Transporturilor, Infrastructurii </w:t>
            </w:r>
            <w:proofErr w:type="spellStart"/>
            <w:r>
              <w:t>şi</w:t>
            </w:r>
            <w:proofErr w:type="spellEnd"/>
            <w:r>
              <w:t xml:space="preserve"> Comunicațiilor se cuprind, cu respectarea prevederilor legislației naționale și a legislației Uniunii Europene privind ajutorul de stat, creditele de angajament și creditele bugetare aferente valorii totale a proiectelor aferente Mecanismului de Redresare</w:t>
            </w:r>
            <w:r>
              <w:t xml:space="preserve"> și Reziliență, ai căror beneficiari sunt </w:t>
            </w:r>
            <w:proofErr w:type="spellStart"/>
            <w:r>
              <w:t>unităţile</w:t>
            </w:r>
            <w:proofErr w:type="spellEnd"/>
            <w:r>
              <w:t xml:space="preserve"> care </w:t>
            </w:r>
            <w:proofErr w:type="spellStart"/>
            <w:r>
              <w:t>funcţionează</w:t>
            </w:r>
            <w:proofErr w:type="spellEnd"/>
            <w:r>
              <w:t xml:space="preserve"> sub autoritatea sau în coordonarea Ministerului Transporturilor, Infrastructurii </w:t>
            </w:r>
            <w:proofErr w:type="spellStart"/>
            <w:r>
              <w:t>şi</w:t>
            </w:r>
            <w:proofErr w:type="spellEnd"/>
            <w:r>
              <w:t xml:space="preserve"> </w:t>
            </w:r>
            <w:proofErr w:type="spellStart"/>
            <w:r>
              <w:t>Comunicaţiilor</w:t>
            </w:r>
            <w:proofErr w:type="spellEnd"/>
            <w:r>
              <w:t>.</w:t>
            </w:r>
          </w:p>
          <w:p w14:paraId="296549C4" w14:textId="77777777" w:rsidR="00A002D7" w:rsidRDefault="00C91810">
            <w:pPr>
              <w:spacing w:before="120" w:after="120"/>
              <w:jc w:val="both"/>
            </w:pPr>
            <w:r>
              <w:t>Art. 2</w:t>
            </w:r>
            <w:r>
              <w:rPr>
                <w:vertAlign w:val="superscript"/>
              </w:rPr>
              <w:t>2</w:t>
            </w:r>
            <w:r>
              <w:t xml:space="preserve"> (1) Propunerile de credite de angajament </w:t>
            </w:r>
            <w:proofErr w:type="spellStart"/>
            <w:r>
              <w:t>şi</w:t>
            </w:r>
            <w:proofErr w:type="spellEnd"/>
            <w:r>
              <w:t xml:space="preserve"> de credite bugetare pentru asigura</w:t>
            </w:r>
            <w:r>
              <w:t xml:space="preserve">rea sumelor necesare implementării corespunzătoare a proiectelor pentru beneficiarii </w:t>
            </w:r>
            <w:proofErr w:type="spellStart"/>
            <w:r>
              <w:t>prevăzuţi</w:t>
            </w:r>
            <w:proofErr w:type="spellEnd"/>
            <w:r>
              <w:t xml:space="preserve"> la art.  21 se stabilesc de către </w:t>
            </w:r>
            <w:proofErr w:type="spellStart"/>
            <w:r>
              <w:t>aceştia</w:t>
            </w:r>
            <w:proofErr w:type="spellEnd"/>
            <w:r>
              <w:t xml:space="preserve"> pe baza </w:t>
            </w:r>
            <w:proofErr w:type="spellStart"/>
            <w:r>
              <w:t>fişelor</w:t>
            </w:r>
            <w:proofErr w:type="spellEnd"/>
            <w:r>
              <w:t xml:space="preserve"> de fundamentare ale proiectelor propuse la </w:t>
            </w:r>
            <w:proofErr w:type="spellStart"/>
            <w:r>
              <w:t>finanţare</w:t>
            </w:r>
            <w:proofErr w:type="spellEnd"/>
            <w:r>
              <w:t>/</w:t>
            </w:r>
            <w:proofErr w:type="spellStart"/>
            <w:r>
              <w:t>finanţate</w:t>
            </w:r>
            <w:proofErr w:type="spellEnd"/>
            <w:r>
              <w:t xml:space="preserve"> în cadrul Planului </w:t>
            </w:r>
            <w:proofErr w:type="spellStart"/>
            <w:r>
              <w:t>naţional</w:t>
            </w:r>
            <w:proofErr w:type="spellEnd"/>
            <w:r>
              <w:t xml:space="preserve"> de redresare</w:t>
            </w:r>
            <w:r>
              <w:t xml:space="preserve"> </w:t>
            </w:r>
            <w:proofErr w:type="spellStart"/>
            <w:r>
              <w:t>şi</w:t>
            </w:r>
            <w:proofErr w:type="spellEnd"/>
            <w:r>
              <w:t xml:space="preserve"> </w:t>
            </w:r>
            <w:proofErr w:type="spellStart"/>
            <w:r>
              <w:t>rezilienţă</w:t>
            </w:r>
            <w:proofErr w:type="spellEnd"/>
            <w:r>
              <w:t xml:space="preserve">. </w:t>
            </w:r>
            <w:proofErr w:type="spellStart"/>
            <w:r>
              <w:t>Fişele</w:t>
            </w:r>
            <w:proofErr w:type="spellEnd"/>
            <w:r>
              <w:t xml:space="preserve"> de fundamentare întocmite de beneficiarii </w:t>
            </w:r>
            <w:proofErr w:type="spellStart"/>
            <w:r>
              <w:t>prevăzuţi</w:t>
            </w:r>
            <w:proofErr w:type="spellEnd"/>
            <w:r>
              <w:t xml:space="preserve"> la art. 21 sunt avizate de principiu de către Organismul intermediar pentru transport.</w:t>
            </w:r>
          </w:p>
          <w:p w14:paraId="2DCBBFFE" w14:textId="77777777" w:rsidR="00A002D7" w:rsidRDefault="00C91810">
            <w:pPr>
              <w:spacing w:before="120" w:after="120"/>
              <w:jc w:val="both"/>
            </w:pPr>
            <w:r>
              <w:t xml:space="preserve"> (2) Avizul de principiu al Organismului intermediar pentru transport se acordă pe baza </w:t>
            </w:r>
            <w:proofErr w:type="spellStart"/>
            <w:r>
              <w:t>inform</w:t>
            </w:r>
            <w:r>
              <w:t>aţiilor</w:t>
            </w:r>
            <w:proofErr w:type="spellEnd"/>
            <w:r>
              <w:t xml:space="preserve"> din </w:t>
            </w:r>
            <w:proofErr w:type="spellStart"/>
            <w:r>
              <w:t>fişa</w:t>
            </w:r>
            <w:proofErr w:type="spellEnd"/>
            <w:r>
              <w:t xml:space="preserve"> de fundamentare a proiectului propus la </w:t>
            </w:r>
            <w:proofErr w:type="spellStart"/>
            <w:r>
              <w:t>finanţare</w:t>
            </w:r>
            <w:proofErr w:type="spellEnd"/>
            <w:r>
              <w:t xml:space="preserve"> </w:t>
            </w:r>
            <w:proofErr w:type="spellStart"/>
            <w:r>
              <w:t>şi</w:t>
            </w:r>
            <w:proofErr w:type="spellEnd"/>
            <w:r>
              <w:t xml:space="preserve"> se referă la eligibilitatea </w:t>
            </w:r>
            <w:proofErr w:type="spellStart"/>
            <w:r>
              <w:t>activităţilor</w:t>
            </w:r>
            <w:proofErr w:type="spellEnd"/>
            <w:r>
              <w:t xml:space="preserve"> din cadrul proiectului, fără a reprezenta un angajament al acestuia de a accepta la </w:t>
            </w:r>
            <w:proofErr w:type="spellStart"/>
            <w:r>
              <w:t>finanţare</w:t>
            </w:r>
            <w:proofErr w:type="spellEnd"/>
            <w:r>
              <w:t xml:space="preserve"> proiectul respectiv.</w:t>
            </w:r>
          </w:p>
          <w:p w14:paraId="7C913A4D" w14:textId="77777777" w:rsidR="00A002D7" w:rsidRDefault="00C91810">
            <w:pPr>
              <w:spacing w:before="120" w:after="120"/>
              <w:jc w:val="both"/>
            </w:pPr>
            <w:r>
              <w:t xml:space="preserve">    (3) Propunerile de credit</w:t>
            </w:r>
            <w:r>
              <w:t>e de angajament și bugetare prevăzute la art. 21 se includ la titlul din clasificația bugetară referitor la proiecte cu finanțare din fonduri externe nerambursabile aferente cadrului financiar 2014-2020.</w:t>
            </w:r>
          </w:p>
          <w:p w14:paraId="6A76A3AA" w14:textId="77777777" w:rsidR="00A002D7" w:rsidRDefault="00C91810">
            <w:pPr>
              <w:spacing w:before="120" w:after="120"/>
              <w:jc w:val="both"/>
            </w:pPr>
            <w:r>
              <w:t xml:space="preserve">   (4) În bugetul ordonatorului de credit din care s</w:t>
            </w:r>
            <w:r>
              <w:t xml:space="preserve">e asigură finanțarea proiectelor beneficiarilor prevăzuți la art. 21 se introduc obiective de investiții noi, cu finanțare din fonduri europene, numai după obținerea acordului Organismului intermediar pentru transport și dacă acestea îndeplinesc cumulativ </w:t>
            </w:r>
            <w:r>
              <w:t xml:space="preserve">următoarele condiții:  </w:t>
            </w:r>
          </w:p>
          <w:p w14:paraId="6471AF29" w14:textId="77777777" w:rsidR="00A002D7" w:rsidRDefault="00C91810">
            <w:pPr>
              <w:spacing w:before="120" w:after="120"/>
              <w:jc w:val="both"/>
            </w:pPr>
            <w:r>
              <w:t xml:space="preserve">   a) beneficiarul proiectului are calitatea de potențial beneficiar în cadrul Planului național de redresare și reziliență;  </w:t>
            </w:r>
          </w:p>
          <w:p w14:paraId="7859A224" w14:textId="77777777" w:rsidR="00A002D7" w:rsidRDefault="00C91810">
            <w:pPr>
              <w:spacing w:before="120" w:after="120"/>
              <w:jc w:val="both"/>
            </w:pPr>
            <w:r>
              <w:t xml:space="preserve">   b) proiectul îndeplinește cerințele </w:t>
            </w:r>
            <w:proofErr w:type="spellStart"/>
            <w:r>
              <w:t>tehnico</w:t>
            </w:r>
            <w:proofErr w:type="spellEnd"/>
            <w:r>
              <w:t xml:space="preserve">-economice pentru a fi finanțat din fonduri europene și se </w:t>
            </w:r>
            <w:r>
              <w:t xml:space="preserve">încadrează în limita de 10 miliarde EUR alocată prin aceasta facilitate;  </w:t>
            </w:r>
          </w:p>
          <w:p w14:paraId="21AE2EA6" w14:textId="77777777" w:rsidR="00A002D7" w:rsidRDefault="00C91810">
            <w:pPr>
              <w:spacing w:before="120" w:after="120"/>
              <w:jc w:val="both"/>
            </w:pPr>
            <w:r>
              <w:t xml:space="preserve">   c) obiectivul/proiectul de investiții îndeplinește condițiile prevăzute la art. 43 alin. (1) din Legea nr. 500/2002, cu modificările și completările ulterioare.”  </w:t>
            </w:r>
          </w:p>
          <w:p w14:paraId="32405B9D" w14:textId="77777777" w:rsidR="00A002D7" w:rsidRDefault="00C91810">
            <w:pPr>
              <w:spacing w:before="120" w:after="120"/>
              <w:jc w:val="both"/>
            </w:pPr>
            <w:r>
              <w:t>(6) În bugetul</w:t>
            </w:r>
            <w:r>
              <w:t xml:space="preserve"> ordonatorului de credite din care se asigură finanțarea proiectelor beneficiarilor prevăzuți la art. 21 se pot introduce obiective de investiții în continuare pentru care sursa de finanțare a fost asigurată din bugetul de stat sau din fonduri externe ramb</w:t>
            </w:r>
            <w:r>
              <w:t xml:space="preserve">ursabile, numai după obținerea acordului Organismului intermediar pentru transport, dacă acestea îndeplinesc cumulativ următoarele condiții:  </w:t>
            </w:r>
          </w:p>
          <w:p w14:paraId="6A07708C" w14:textId="77777777" w:rsidR="00A002D7" w:rsidRDefault="00C91810">
            <w:pPr>
              <w:spacing w:before="120" w:after="120"/>
              <w:jc w:val="both"/>
            </w:pPr>
            <w:r>
              <w:t xml:space="preserve">   a) beneficiarul proiectului are calitatea de potențial beneficiar în cadrul Mecanismul de redresare și rezilie</w:t>
            </w:r>
            <w:r>
              <w:t xml:space="preserve">nță/MRR;  </w:t>
            </w:r>
          </w:p>
          <w:p w14:paraId="3A7594E2" w14:textId="77777777" w:rsidR="00A002D7" w:rsidRDefault="00C91810">
            <w:pPr>
              <w:spacing w:before="120" w:after="120"/>
              <w:jc w:val="both"/>
            </w:pPr>
            <w:r>
              <w:t xml:space="preserve">   b) proiectul se încadrează în limita de 10 miliarde EUR alocată prin această facilitate;  </w:t>
            </w:r>
          </w:p>
          <w:p w14:paraId="4BDD7CC4" w14:textId="77777777" w:rsidR="00A002D7" w:rsidRDefault="00C91810">
            <w:pPr>
              <w:spacing w:before="120" w:after="120"/>
              <w:jc w:val="both"/>
            </w:pPr>
            <w:r>
              <w:t xml:space="preserve">   c) proiectul este prevăzut în documentele strategice naționale din transport aprobate conform legii;  </w:t>
            </w:r>
          </w:p>
          <w:p w14:paraId="0B083CCE" w14:textId="77777777" w:rsidR="00A002D7" w:rsidRDefault="00C91810">
            <w:pPr>
              <w:spacing w:before="120" w:after="120"/>
              <w:jc w:val="both"/>
            </w:pPr>
            <w:r>
              <w:lastRenderedPageBreak/>
              <w:t xml:space="preserve">   d) obiectivele de investiții în continuare au proceduri de achiziție legale în curs sau au contracte de achiziție publică legal încheiate ori, după caz, au proceduri/contracte de achiziție publică pentru elaborarea documentațiilor </w:t>
            </w:r>
            <w:proofErr w:type="spellStart"/>
            <w:r>
              <w:t>tehnico</w:t>
            </w:r>
            <w:proofErr w:type="spellEnd"/>
            <w:r>
              <w:t>-economice.</w:t>
            </w:r>
          </w:p>
          <w:p w14:paraId="561156E5" w14:textId="77777777" w:rsidR="00A002D7" w:rsidRDefault="00C91810">
            <w:pPr>
              <w:widowControl w:val="0"/>
              <w:spacing w:before="120" w:after="120"/>
              <w:jc w:val="both"/>
            </w:pPr>
            <w:r>
              <w:t>Avâ</w:t>
            </w:r>
            <w:r>
              <w:t>nd în vedere faptul că restricția aprobată prin HG nr. 52/2020</w:t>
            </w:r>
            <w:r>
              <w:rPr>
                <w:rFonts w:ascii="Courier New" w:eastAsia="Courier New" w:hAnsi="Courier New" w:cs="Courier New"/>
                <w:b/>
                <w:color w:val="000000"/>
                <w:sz w:val="22"/>
                <w:szCs w:val="22"/>
              </w:rPr>
              <w:t xml:space="preserve"> </w:t>
            </w:r>
            <w:r>
              <w:t xml:space="preserve">privind stabilirea unor măsuri suplimentare necesar a fi aplicate pentru prevenirea </w:t>
            </w:r>
            <w:proofErr w:type="spellStart"/>
            <w:r>
              <w:t>şi</w:t>
            </w:r>
            <w:proofErr w:type="spellEnd"/>
            <w:r>
              <w:t xml:space="preserve"> combaterea efectelor pandemiei de COVID-19 în ceea ce privește obligația organizării activității </w:t>
            </w:r>
            <w:proofErr w:type="spellStart"/>
            <w:r>
              <w:t>şi</w:t>
            </w:r>
            <w:proofErr w:type="spellEnd"/>
            <w:r>
              <w:t xml:space="preserve"> desfăș</w:t>
            </w:r>
            <w:r>
              <w:t xml:space="preserve">urării programului de lucru în regim de </w:t>
            </w:r>
            <w:proofErr w:type="spellStart"/>
            <w:r>
              <w:t>telemuncă</w:t>
            </w:r>
            <w:proofErr w:type="spellEnd"/>
            <w:r>
              <w:t xml:space="preserve"> va reduce posibilitatea de a derula activitățile în aceleași termene, atât în ceea ce privește activitatea sistemului de management </w:t>
            </w:r>
            <w:proofErr w:type="spellStart"/>
            <w:r>
              <w:t>şi</w:t>
            </w:r>
            <w:proofErr w:type="spellEnd"/>
            <w:r>
              <w:t xml:space="preserve"> control al fondurilor externe nerambursabile, respectiv autorități de m</w:t>
            </w:r>
            <w:r>
              <w:t xml:space="preserve">anagement, organisme intermediare etc., cât </w:t>
            </w:r>
            <w:proofErr w:type="spellStart"/>
            <w:r>
              <w:t>şi</w:t>
            </w:r>
            <w:proofErr w:type="spellEnd"/>
            <w:r>
              <w:t xml:space="preserve"> a beneficiarilor publici </w:t>
            </w:r>
            <w:proofErr w:type="spellStart"/>
            <w:r>
              <w:t>şi</w:t>
            </w:r>
            <w:proofErr w:type="spellEnd"/>
            <w:r>
              <w:t xml:space="preserve"> privați ai proiectelor este necesară reglementarea în regim de urgență a prelungirii perioadei de flexibilizare a termenelor procedurale pentru diminuarea riscului de reziliere a co</w:t>
            </w:r>
            <w:r>
              <w:t xml:space="preserve">ntractelor de finanțare ca urmare a accesului limitat al beneficiarilor la resursele umane necesare pregătirii documentelor aferente </w:t>
            </w:r>
            <w:proofErr w:type="spellStart"/>
            <w:r>
              <w:t>prefinanţărilor</w:t>
            </w:r>
            <w:proofErr w:type="spellEnd"/>
            <w:r>
              <w:t>/cererilor de plată/cererilor de rambursare până la data de 31 decembrie 2021.</w:t>
            </w:r>
          </w:p>
          <w:p w14:paraId="723F6189" w14:textId="77777777" w:rsidR="00A002D7" w:rsidRDefault="00C91810">
            <w:pPr>
              <w:spacing w:before="120" w:after="120"/>
              <w:jc w:val="both"/>
            </w:pPr>
            <w:r>
              <w:t>Caracterul de urgență al modi</w:t>
            </w:r>
            <w:r>
              <w:t>ficării propuse este impus de următoarele considerente:</w:t>
            </w:r>
          </w:p>
          <w:p w14:paraId="048DB684" w14:textId="77777777" w:rsidR="00A002D7" w:rsidRDefault="00C91810">
            <w:pPr>
              <w:spacing w:before="120" w:after="120"/>
              <w:jc w:val="both"/>
            </w:pPr>
            <w:r>
              <w:t>Un risc major identificat în domeniul gestiunii fondurilor europene este apariția blocajelor în implementarea proiectelor aprobate la finanțare, ceea ce va avea impact negativ direct asupra țintei de plăți asumată de autoritățile române pentru anul 2021.</w:t>
            </w:r>
          </w:p>
          <w:p w14:paraId="4B9F8F3D" w14:textId="77777777" w:rsidR="00A002D7" w:rsidRDefault="00C91810">
            <w:pPr>
              <w:spacing w:before="120" w:after="120"/>
              <w:jc w:val="both"/>
            </w:pPr>
            <w:r>
              <w:t>A</w:t>
            </w:r>
            <w:r>
              <w:t xml:space="preserve">stfel, având în vedere măsurile de organizare a activității </w:t>
            </w:r>
            <w:proofErr w:type="spellStart"/>
            <w:r>
              <w:t>şi</w:t>
            </w:r>
            <w:proofErr w:type="spellEnd"/>
            <w:r>
              <w:t xml:space="preserve"> desfășurării programului de lucru în regim de </w:t>
            </w:r>
            <w:proofErr w:type="spellStart"/>
            <w:r>
              <w:t>telemuncă</w:t>
            </w:r>
            <w:proofErr w:type="spellEnd"/>
            <w:r>
              <w:t>/suspendare a activității instituțiilor de învățământ/angrenare a instituțiilor publice în procent majoritar în activități legate de situa</w:t>
            </w:r>
            <w:r>
              <w:t>ția generată de epidemia COVID-19/reducere a activității operatorilor economici, vor apărea inevitabil întârzieri în implementarea acestor proiecte, cu perturbarea fluxului financiar (depunerea cererilor de rambursare de către beneficiari), sau chiar rezil</w:t>
            </w:r>
            <w:r>
              <w:t>iere a proiectelor.</w:t>
            </w:r>
          </w:p>
          <w:p w14:paraId="4346F439" w14:textId="77777777" w:rsidR="00A002D7" w:rsidRDefault="00C91810">
            <w:pPr>
              <w:spacing w:before="120" w:after="120"/>
              <w:jc w:val="both"/>
            </w:pPr>
            <w:r>
              <w:t>Un risc clar ce derivă din restricțiile privind circulația persoanelor este acela al  indisponibilității / capacității reduse al resurselor umane, atât în ceea ce privește activitatea sistemului de management și control al fondurilor eu</w:t>
            </w:r>
            <w:r>
              <w:t>ropene (autorități de management, organisme intermediare etc.) cât și a beneficiarilor publici și privați ai proiectelor, în asigurarea consultanței necesare, inclusiv în contextul pregătirii documentelor pentru viitoarea perioadă de programare.</w:t>
            </w:r>
          </w:p>
          <w:p w14:paraId="1413F91D" w14:textId="77777777" w:rsidR="00A002D7" w:rsidRDefault="00C91810">
            <w:pPr>
              <w:spacing w:before="120" w:after="120"/>
              <w:jc w:val="both"/>
            </w:pPr>
            <w:r>
              <w:t>Suplimenta</w:t>
            </w:r>
            <w:r>
              <w:t>r, în situația în care calendarul de implementare a proiectelor va fi afectat pe scară largă de efectele epidemiei COVID-19, va crește și riscul de dezangajare a fondurilor pentru programele operaționale, în cazul în care nu se reglementează la nivel europ</w:t>
            </w:r>
            <w:r>
              <w:t>ean flexibilizarea acestor reguli.</w:t>
            </w:r>
          </w:p>
          <w:p w14:paraId="5D488F2C" w14:textId="77777777" w:rsidR="00A002D7" w:rsidRDefault="00C91810">
            <w:pPr>
              <w:spacing w:before="120" w:after="120"/>
              <w:jc w:val="both"/>
            </w:pPr>
            <w:r>
              <w:t xml:space="preserve">Până în prezent, în cadrul exercițiului financiar 2014-2020, nu au fost dezangajate sume aferente programelor operaționale, întrucât valoarea aplicațiilor de plată transmise Comisiei Europene a acoperit sumele alocate. </w:t>
            </w:r>
          </w:p>
          <w:p w14:paraId="43A96952" w14:textId="77777777" w:rsidR="00A002D7" w:rsidRDefault="00C91810">
            <w:pPr>
              <w:spacing w:before="120" w:after="120"/>
              <w:jc w:val="both"/>
            </w:pPr>
            <w:r>
              <w:t>Î</w:t>
            </w:r>
            <w:r>
              <w:t>n mod indirect, perturbarea activității operatorilor economici are impact asupra derulării procedurilor de achiziție, precum și întârzieri în prestarea serviciilor, furnizarea bunurilor și în executarea contractelor de lucrări din cauza închiderilor totale</w:t>
            </w:r>
            <w:r>
              <w:t xml:space="preserve"> sau parțiale ale șantierelor, cu consecințe asupra întârzierii plăților către contractori. La acestea se pot adăuga creșterea costurilor de producție și micșorarea productivității/profitabilității, până la declanșarea insolvenței/falimentului. Acest lucru</w:t>
            </w:r>
            <w:r>
              <w:t xml:space="preserve"> va conduce la decalarea activităților prevăzute în calendarul de implementare, precum și a graficului de depunere a cererilor de rambursare pentru proiectele finanțate din fonduri europene.</w:t>
            </w:r>
          </w:p>
          <w:p w14:paraId="553A3C90" w14:textId="77777777" w:rsidR="00A002D7" w:rsidRDefault="00C91810">
            <w:pPr>
              <w:spacing w:before="120" w:after="120"/>
              <w:jc w:val="both"/>
            </w:pPr>
            <w:r>
              <w:lastRenderedPageBreak/>
              <w:t>În procesul de contractare, ținând cont de natura documentelor ce</w:t>
            </w:r>
            <w:r>
              <w:t xml:space="preserve"> trebuie transmise de către solicitant, există riscul depășirii termenului de răspuns ca urmare a restrângerii activității instituțiilor care furnizează documente cu termen limitat de valabilitate (ex: ANAF pentru Certificatele de atestare fiscală);</w:t>
            </w:r>
          </w:p>
        </w:tc>
      </w:tr>
      <w:tr w:rsidR="00A002D7" w14:paraId="799AEEBA" w14:textId="77777777">
        <w:trPr>
          <w:trHeight w:val="621"/>
        </w:trPr>
        <w:tc>
          <w:tcPr>
            <w:tcW w:w="1440" w:type="dxa"/>
          </w:tcPr>
          <w:p w14:paraId="430CD7E3" w14:textId="77777777" w:rsidR="00A002D7" w:rsidRDefault="00C91810">
            <w:pPr>
              <w:jc w:val="both"/>
            </w:pPr>
            <w:r>
              <w:lastRenderedPageBreak/>
              <w:t>3.Alt</w:t>
            </w:r>
            <w:r>
              <w:t xml:space="preserve">e </w:t>
            </w:r>
            <w:proofErr w:type="spellStart"/>
            <w:r>
              <w:t>informaţii</w:t>
            </w:r>
            <w:proofErr w:type="spellEnd"/>
          </w:p>
        </w:tc>
        <w:tc>
          <w:tcPr>
            <w:tcW w:w="9260" w:type="dxa"/>
          </w:tcPr>
          <w:p w14:paraId="5EC2FE19" w14:textId="77777777" w:rsidR="00A002D7" w:rsidRDefault="00C91810">
            <w:pPr>
              <w:widowControl w:val="0"/>
              <w:spacing w:before="120" w:after="120"/>
              <w:jc w:val="both"/>
            </w:pPr>
            <w:r>
              <w:t>Nu au fost identificate</w:t>
            </w:r>
          </w:p>
        </w:tc>
      </w:tr>
    </w:tbl>
    <w:p w14:paraId="47C55A1E" w14:textId="77777777" w:rsidR="00A002D7" w:rsidRDefault="00C91810">
      <w:pPr>
        <w:spacing w:before="120" w:after="120"/>
        <w:rPr>
          <w:b/>
        </w:rPr>
      </w:pPr>
      <w:r>
        <w:rPr>
          <w:b/>
        </w:rPr>
        <w:t xml:space="preserve">      </w:t>
      </w:r>
    </w:p>
    <w:p w14:paraId="791F172C" w14:textId="77777777" w:rsidR="00A002D7" w:rsidRDefault="00C91810">
      <w:pPr>
        <w:spacing w:before="120" w:after="120"/>
        <w:rPr>
          <w:b/>
        </w:rPr>
      </w:pPr>
      <w:r>
        <w:rPr>
          <w:b/>
        </w:rPr>
        <w:t xml:space="preserve"> </w:t>
      </w:r>
      <w:proofErr w:type="spellStart"/>
      <w:r>
        <w:rPr>
          <w:b/>
        </w:rPr>
        <w:t>Secţiunea</w:t>
      </w:r>
      <w:proofErr w:type="spellEnd"/>
      <w:r>
        <w:rPr>
          <w:b/>
        </w:rPr>
        <w:t xml:space="preserve"> a 3-a - Impactul </w:t>
      </w:r>
      <w:proofErr w:type="spellStart"/>
      <w:r>
        <w:rPr>
          <w:b/>
        </w:rPr>
        <w:t>socio</w:t>
      </w:r>
      <w:proofErr w:type="spellEnd"/>
      <w:r>
        <w:rPr>
          <w:b/>
        </w:rPr>
        <w:t>-economic al proiectului de act normativ</w:t>
      </w:r>
    </w:p>
    <w:tbl>
      <w:tblPr>
        <w:tblStyle w:val="a1"/>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7"/>
        <w:gridCol w:w="7643"/>
      </w:tblGrid>
      <w:tr w:rsidR="00A002D7" w14:paraId="4D6F1AF3" w14:textId="77777777">
        <w:tc>
          <w:tcPr>
            <w:tcW w:w="3067" w:type="dxa"/>
          </w:tcPr>
          <w:p w14:paraId="38C8F0DD" w14:textId="77777777" w:rsidR="00A002D7" w:rsidRDefault="00C91810">
            <w:r>
              <w:t>1. Impactul macro- economic</w:t>
            </w:r>
          </w:p>
        </w:tc>
        <w:tc>
          <w:tcPr>
            <w:tcW w:w="7643" w:type="dxa"/>
            <w:vAlign w:val="center"/>
          </w:tcPr>
          <w:p w14:paraId="0FCD2E1F" w14:textId="77777777" w:rsidR="00A002D7" w:rsidRDefault="00C91810">
            <w:pPr>
              <w:jc w:val="both"/>
            </w:pPr>
            <w:r>
              <w:t xml:space="preserve">Prezentul actul normativ are impact macroeconomic, contribuind la pregătirea portofoliului de proiecte din domeniul infrastructurii de cercetare medicală și digitalizare a sistemului medical, care vor permite atragerea fondurilor europene alocate României </w:t>
            </w:r>
            <w:r>
              <w:t>în perioada de programare 2021-2027.</w:t>
            </w:r>
          </w:p>
        </w:tc>
      </w:tr>
      <w:tr w:rsidR="00A002D7" w14:paraId="383A3E58" w14:textId="77777777">
        <w:tc>
          <w:tcPr>
            <w:tcW w:w="3067" w:type="dxa"/>
          </w:tcPr>
          <w:p w14:paraId="3A69C541" w14:textId="77777777" w:rsidR="00A002D7" w:rsidRDefault="00C91810">
            <w:pPr>
              <w:jc w:val="both"/>
            </w:pPr>
            <w:r>
              <w:t>1</w:t>
            </w:r>
            <w:r>
              <w:rPr>
                <w:vertAlign w:val="superscript"/>
              </w:rPr>
              <w:t>1</w:t>
            </w:r>
            <w:r>
              <w:t xml:space="preserve">. Impactul asupra mediului </w:t>
            </w:r>
            <w:proofErr w:type="spellStart"/>
            <w:r>
              <w:t>concurenţial</w:t>
            </w:r>
            <w:proofErr w:type="spellEnd"/>
            <w:r>
              <w:t xml:space="preserve"> </w:t>
            </w:r>
            <w:proofErr w:type="spellStart"/>
            <w:r>
              <w:t>şi</w:t>
            </w:r>
            <w:proofErr w:type="spellEnd"/>
            <w:r>
              <w:t xml:space="preserve"> domeniului ajutoarelor de stat</w:t>
            </w:r>
          </w:p>
        </w:tc>
        <w:tc>
          <w:tcPr>
            <w:tcW w:w="7643" w:type="dxa"/>
            <w:vAlign w:val="center"/>
          </w:tcPr>
          <w:p w14:paraId="06C11473" w14:textId="77777777" w:rsidR="00A002D7" w:rsidRDefault="00C91810">
            <w:pPr>
              <w:spacing w:line="360" w:lineRule="auto"/>
              <w:jc w:val="both"/>
            </w:pPr>
            <w:r>
              <w:t>Proiectul de act normativ nu se referă la acest subiect.</w:t>
            </w:r>
          </w:p>
        </w:tc>
      </w:tr>
      <w:tr w:rsidR="00A002D7" w14:paraId="6813D060" w14:textId="77777777">
        <w:tc>
          <w:tcPr>
            <w:tcW w:w="3067" w:type="dxa"/>
          </w:tcPr>
          <w:p w14:paraId="2D768325" w14:textId="77777777" w:rsidR="00A002D7" w:rsidRDefault="00C91810">
            <w:r>
              <w:t>2. Impact asupra mediului de afaceri</w:t>
            </w:r>
          </w:p>
        </w:tc>
        <w:tc>
          <w:tcPr>
            <w:tcW w:w="7643" w:type="dxa"/>
            <w:vAlign w:val="center"/>
          </w:tcPr>
          <w:p w14:paraId="3691FFBA" w14:textId="77777777" w:rsidR="00A002D7" w:rsidRDefault="00C91810">
            <w:pPr>
              <w:jc w:val="both"/>
            </w:pPr>
            <w:r>
              <w:t>Proiectul de act normativ nu se referă la acest subiect.</w:t>
            </w:r>
          </w:p>
          <w:p w14:paraId="1A0C61E2" w14:textId="77777777" w:rsidR="00A002D7" w:rsidRDefault="00A002D7">
            <w:pPr>
              <w:jc w:val="both"/>
            </w:pPr>
          </w:p>
        </w:tc>
      </w:tr>
      <w:tr w:rsidR="00A002D7" w14:paraId="5B17695B" w14:textId="77777777">
        <w:tc>
          <w:tcPr>
            <w:tcW w:w="3067" w:type="dxa"/>
          </w:tcPr>
          <w:p w14:paraId="5B2DD255" w14:textId="77777777" w:rsidR="00A002D7" w:rsidRDefault="00C91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r>
              <w:rPr>
                <w:vertAlign w:val="superscript"/>
              </w:rPr>
              <w:t>1</w:t>
            </w:r>
            <w:r>
              <w:t>. Impactul asupra sarcinilor administrative</w:t>
            </w:r>
          </w:p>
        </w:tc>
        <w:tc>
          <w:tcPr>
            <w:tcW w:w="7643" w:type="dxa"/>
            <w:vAlign w:val="center"/>
          </w:tcPr>
          <w:p w14:paraId="07EAF075" w14:textId="77777777" w:rsidR="00A002D7" w:rsidRDefault="00C91810">
            <w:pPr>
              <w:jc w:val="both"/>
            </w:pPr>
            <w:r>
              <w:t>Proiectul de act normativ nu se referă la acest subiect.</w:t>
            </w:r>
          </w:p>
        </w:tc>
      </w:tr>
      <w:tr w:rsidR="00A002D7" w14:paraId="3A707868" w14:textId="77777777">
        <w:tc>
          <w:tcPr>
            <w:tcW w:w="3067" w:type="dxa"/>
          </w:tcPr>
          <w:p w14:paraId="2C31B262" w14:textId="77777777" w:rsidR="00A002D7" w:rsidRDefault="00C9181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2</w:t>
            </w:r>
            <w:r>
              <w:rPr>
                <w:color w:val="000000"/>
                <w:vertAlign w:val="superscript"/>
              </w:rPr>
              <w:t>2</w:t>
            </w:r>
            <w:r>
              <w:rPr>
                <w:color w:val="000000"/>
              </w:rPr>
              <w:t>. Impactul asupra întreprinderilor mici și mijlocii</w:t>
            </w:r>
          </w:p>
        </w:tc>
        <w:tc>
          <w:tcPr>
            <w:tcW w:w="7643" w:type="dxa"/>
            <w:vAlign w:val="center"/>
          </w:tcPr>
          <w:p w14:paraId="099529C7" w14:textId="77777777" w:rsidR="00A002D7" w:rsidRDefault="00C91810">
            <w:pPr>
              <w:jc w:val="both"/>
            </w:pPr>
            <w:r>
              <w:t>Proiectul de act normativ nu se referă la acest subiect.</w:t>
            </w:r>
          </w:p>
        </w:tc>
      </w:tr>
      <w:tr w:rsidR="00A002D7" w14:paraId="62693E59" w14:textId="77777777">
        <w:tc>
          <w:tcPr>
            <w:tcW w:w="3067" w:type="dxa"/>
          </w:tcPr>
          <w:p w14:paraId="07C801B4" w14:textId="77777777" w:rsidR="00A002D7" w:rsidRDefault="00C91810">
            <w:r>
              <w:t>3. Impactul social</w:t>
            </w:r>
          </w:p>
        </w:tc>
        <w:tc>
          <w:tcPr>
            <w:tcW w:w="7643" w:type="dxa"/>
            <w:vAlign w:val="center"/>
          </w:tcPr>
          <w:p w14:paraId="1EF61AA7" w14:textId="77777777" w:rsidR="00A002D7" w:rsidRDefault="00C91810">
            <w:pPr>
              <w:jc w:val="both"/>
            </w:pPr>
            <w:r>
              <w:t>Proiectul de act normativ nu se referă la acest subiect.</w:t>
            </w:r>
          </w:p>
        </w:tc>
      </w:tr>
      <w:tr w:rsidR="00A002D7" w14:paraId="2CA72199" w14:textId="77777777">
        <w:tc>
          <w:tcPr>
            <w:tcW w:w="3067" w:type="dxa"/>
          </w:tcPr>
          <w:p w14:paraId="7A89D9AF" w14:textId="77777777" w:rsidR="00A002D7" w:rsidRDefault="00C91810">
            <w:r>
              <w:t>4. Impact asupra mediului</w:t>
            </w:r>
          </w:p>
        </w:tc>
        <w:tc>
          <w:tcPr>
            <w:tcW w:w="7643" w:type="dxa"/>
            <w:vAlign w:val="center"/>
          </w:tcPr>
          <w:p w14:paraId="15710A5C" w14:textId="77777777" w:rsidR="00A002D7" w:rsidRDefault="00C91810">
            <w:pPr>
              <w:jc w:val="both"/>
            </w:pPr>
            <w:r>
              <w:t>Proiectul de act normativ nu se referă la a</w:t>
            </w:r>
            <w:r>
              <w:t>cest subiect.</w:t>
            </w:r>
          </w:p>
        </w:tc>
      </w:tr>
      <w:tr w:rsidR="00A002D7" w14:paraId="7BE1CD63" w14:textId="77777777">
        <w:tc>
          <w:tcPr>
            <w:tcW w:w="3067" w:type="dxa"/>
          </w:tcPr>
          <w:p w14:paraId="22C0AA93" w14:textId="77777777" w:rsidR="00A002D7" w:rsidRDefault="00C91810">
            <w:r>
              <w:t xml:space="preserve">5. Alte </w:t>
            </w:r>
            <w:proofErr w:type="spellStart"/>
            <w:r>
              <w:t>informaţii</w:t>
            </w:r>
            <w:proofErr w:type="spellEnd"/>
          </w:p>
        </w:tc>
        <w:tc>
          <w:tcPr>
            <w:tcW w:w="7643" w:type="dxa"/>
            <w:vAlign w:val="center"/>
          </w:tcPr>
          <w:p w14:paraId="545C8186" w14:textId="77777777" w:rsidR="00A002D7" w:rsidRDefault="00C91810">
            <w:pPr>
              <w:spacing w:line="360" w:lineRule="auto"/>
              <w:jc w:val="both"/>
            </w:pPr>
            <w:r>
              <w:t>Nu au fost identificate.</w:t>
            </w:r>
          </w:p>
        </w:tc>
      </w:tr>
    </w:tbl>
    <w:p w14:paraId="20915BC2" w14:textId="77777777" w:rsidR="00A002D7" w:rsidRDefault="00A002D7">
      <w:pPr>
        <w:ind w:left="180"/>
        <w:jc w:val="both"/>
        <w:rPr>
          <w:b/>
        </w:rPr>
      </w:pPr>
    </w:p>
    <w:p w14:paraId="0379E0A5" w14:textId="77777777" w:rsidR="00A002D7" w:rsidRDefault="00C91810">
      <w:pPr>
        <w:ind w:left="180"/>
        <w:jc w:val="both"/>
        <w:rPr>
          <w:b/>
        </w:rPr>
      </w:pPr>
      <w:r>
        <w:rPr>
          <w:b/>
        </w:rPr>
        <w:t xml:space="preserve"> </w:t>
      </w:r>
      <w:proofErr w:type="spellStart"/>
      <w:r>
        <w:rPr>
          <w:b/>
        </w:rPr>
        <w:t>Secţiunea</w:t>
      </w:r>
      <w:proofErr w:type="spellEnd"/>
      <w:r>
        <w:rPr>
          <w:b/>
        </w:rPr>
        <w:t xml:space="preserve"> a 4-a. Impactul financiar asupra bugetului de stat consolidat, atât pe termen scurt, pentru     anul curent, cât </w:t>
      </w:r>
      <w:proofErr w:type="spellStart"/>
      <w:r>
        <w:rPr>
          <w:b/>
        </w:rPr>
        <w:t>şi</w:t>
      </w:r>
      <w:proofErr w:type="spellEnd"/>
      <w:r>
        <w:rPr>
          <w:b/>
        </w:rPr>
        <w:t xml:space="preserve"> pe termen lung (pe 5 ani)</w:t>
      </w:r>
    </w:p>
    <w:p w14:paraId="75ABD222" w14:textId="77777777" w:rsidR="00A002D7" w:rsidRDefault="00A002D7">
      <w:pPr>
        <w:ind w:left="180"/>
        <w:jc w:val="both"/>
        <w:rPr>
          <w:b/>
        </w:rPr>
      </w:pPr>
    </w:p>
    <w:tbl>
      <w:tblPr>
        <w:tblStyle w:val="a2"/>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9"/>
        <w:gridCol w:w="1079"/>
        <w:gridCol w:w="898"/>
        <w:gridCol w:w="1077"/>
        <w:gridCol w:w="1077"/>
        <w:gridCol w:w="1256"/>
        <w:gridCol w:w="2064"/>
      </w:tblGrid>
      <w:tr w:rsidR="00A002D7" w14:paraId="16747C73" w14:textId="77777777">
        <w:tc>
          <w:tcPr>
            <w:tcW w:w="3259" w:type="dxa"/>
          </w:tcPr>
          <w:p w14:paraId="5BA96B65" w14:textId="77777777" w:rsidR="00A002D7" w:rsidRDefault="00C91810">
            <w:pPr>
              <w:pStyle w:val="Heading2"/>
              <w:rPr>
                <w:sz w:val="24"/>
                <w:szCs w:val="24"/>
              </w:rPr>
            </w:pPr>
            <w:r>
              <w:rPr>
                <w:sz w:val="24"/>
                <w:szCs w:val="24"/>
              </w:rPr>
              <w:t>Indicatori</w:t>
            </w:r>
          </w:p>
        </w:tc>
        <w:tc>
          <w:tcPr>
            <w:tcW w:w="1079" w:type="dxa"/>
          </w:tcPr>
          <w:p w14:paraId="0D89E413" w14:textId="77777777" w:rsidR="00A002D7" w:rsidRDefault="00C91810">
            <w:pPr>
              <w:jc w:val="center"/>
            </w:pPr>
            <w:r>
              <w:t>An curent</w:t>
            </w:r>
          </w:p>
        </w:tc>
        <w:tc>
          <w:tcPr>
            <w:tcW w:w="4308" w:type="dxa"/>
            <w:gridSpan w:val="4"/>
          </w:tcPr>
          <w:p w14:paraId="7DFF7355" w14:textId="77777777" w:rsidR="00A002D7" w:rsidRDefault="00C91810">
            <w:pPr>
              <w:jc w:val="center"/>
            </w:pPr>
            <w:r>
              <w:t>Următorii 4 ani</w:t>
            </w:r>
          </w:p>
        </w:tc>
        <w:tc>
          <w:tcPr>
            <w:tcW w:w="2064" w:type="dxa"/>
          </w:tcPr>
          <w:p w14:paraId="4BF87A31" w14:textId="77777777" w:rsidR="00A002D7" w:rsidRDefault="00C91810">
            <w:pPr>
              <w:jc w:val="center"/>
            </w:pPr>
            <w:r>
              <w:t>Media următorilor 5 ani, după anul curent</w:t>
            </w:r>
          </w:p>
        </w:tc>
      </w:tr>
      <w:tr w:rsidR="00A002D7" w14:paraId="5B4AFE28" w14:textId="77777777">
        <w:tc>
          <w:tcPr>
            <w:tcW w:w="3259" w:type="dxa"/>
          </w:tcPr>
          <w:p w14:paraId="0DD708AB" w14:textId="77777777" w:rsidR="00A002D7" w:rsidRDefault="00C91810">
            <w:pPr>
              <w:jc w:val="center"/>
            </w:pPr>
            <w:r>
              <w:t>1</w:t>
            </w:r>
          </w:p>
        </w:tc>
        <w:tc>
          <w:tcPr>
            <w:tcW w:w="1079" w:type="dxa"/>
            <w:vAlign w:val="center"/>
          </w:tcPr>
          <w:p w14:paraId="0D744724" w14:textId="77777777" w:rsidR="00A002D7" w:rsidRDefault="00C91810">
            <w:pPr>
              <w:spacing w:line="360" w:lineRule="auto"/>
              <w:jc w:val="center"/>
            </w:pPr>
            <w:r>
              <w:t>2</w:t>
            </w:r>
          </w:p>
        </w:tc>
        <w:tc>
          <w:tcPr>
            <w:tcW w:w="898" w:type="dxa"/>
            <w:vAlign w:val="center"/>
          </w:tcPr>
          <w:p w14:paraId="40D9DA57" w14:textId="77777777" w:rsidR="00A002D7" w:rsidRDefault="00C91810">
            <w:pPr>
              <w:spacing w:line="360" w:lineRule="auto"/>
              <w:jc w:val="center"/>
            </w:pPr>
            <w:r>
              <w:t>3</w:t>
            </w:r>
          </w:p>
        </w:tc>
        <w:tc>
          <w:tcPr>
            <w:tcW w:w="1077" w:type="dxa"/>
            <w:vAlign w:val="center"/>
          </w:tcPr>
          <w:p w14:paraId="009A002B" w14:textId="77777777" w:rsidR="00A002D7" w:rsidRDefault="00C91810">
            <w:pPr>
              <w:spacing w:line="360" w:lineRule="auto"/>
              <w:jc w:val="center"/>
            </w:pPr>
            <w:r>
              <w:t>4</w:t>
            </w:r>
          </w:p>
        </w:tc>
        <w:tc>
          <w:tcPr>
            <w:tcW w:w="1077" w:type="dxa"/>
            <w:vAlign w:val="center"/>
          </w:tcPr>
          <w:p w14:paraId="2F052CD1" w14:textId="77777777" w:rsidR="00A002D7" w:rsidRDefault="00C91810">
            <w:pPr>
              <w:spacing w:line="360" w:lineRule="auto"/>
              <w:jc w:val="center"/>
            </w:pPr>
            <w:r>
              <w:t>5</w:t>
            </w:r>
          </w:p>
        </w:tc>
        <w:tc>
          <w:tcPr>
            <w:tcW w:w="1256" w:type="dxa"/>
            <w:vAlign w:val="center"/>
          </w:tcPr>
          <w:p w14:paraId="7495146E" w14:textId="77777777" w:rsidR="00A002D7" w:rsidRDefault="00C91810">
            <w:pPr>
              <w:spacing w:line="360" w:lineRule="auto"/>
              <w:jc w:val="center"/>
            </w:pPr>
            <w:r>
              <w:t>6</w:t>
            </w:r>
          </w:p>
        </w:tc>
        <w:tc>
          <w:tcPr>
            <w:tcW w:w="2064" w:type="dxa"/>
            <w:vAlign w:val="center"/>
          </w:tcPr>
          <w:p w14:paraId="163DC8BF" w14:textId="77777777" w:rsidR="00A002D7" w:rsidRDefault="00C91810">
            <w:pPr>
              <w:spacing w:line="360" w:lineRule="auto"/>
              <w:jc w:val="center"/>
            </w:pPr>
            <w:r>
              <w:t>7</w:t>
            </w:r>
          </w:p>
        </w:tc>
      </w:tr>
      <w:tr w:rsidR="00A002D7" w14:paraId="77FBE9E1" w14:textId="77777777">
        <w:tc>
          <w:tcPr>
            <w:tcW w:w="3259" w:type="dxa"/>
          </w:tcPr>
          <w:p w14:paraId="67053C44" w14:textId="77777777" w:rsidR="00A002D7" w:rsidRDefault="00C91810">
            <w:pPr>
              <w:jc w:val="both"/>
            </w:pPr>
            <w:r>
              <w:t>1.Modificări ale veniturilor bugetare, plus/minus, din care:</w:t>
            </w:r>
          </w:p>
          <w:p w14:paraId="4EE5E095" w14:textId="77777777" w:rsidR="00A002D7" w:rsidRDefault="00C91810">
            <w:pPr>
              <w:jc w:val="both"/>
            </w:pPr>
            <w:r>
              <w:t>a)bugetul de stat, din acesta:</w:t>
            </w:r>
          </w:p>
          <w:p w14:paraId="63E592D6" w14:textId="77777777" w:rsidR="00A002D7" w:rsidRDefault="00C91810">
            <w:pPr>
              <w:jc w:val="both"/>
            </w:pPr>
            <w:r>
              <w:t>-impozit pe profit</w:t>
            </w:r>
          </w:p>
          <w:p w14:paraId="793F0C5B" w14:textId="77777777" w:rsidR="00A002D7" w:rsidRDefault="00C91810">
            <w:pPr>
              <w:jc w:val="both"/>
            </w:pPr>
            <w:r>
              <w:t>-impozit pe venit</w:t>
            </w:r>
          </w:p>
          <w:p w14:paraId="02C9FF7D" w14:textId="77777777" w:rsidR="00A002D7" w:rsidRDefault="00C91810">
            <w:pPr>
              <w:jc w:val="both"/>
            </w:pPr>
            <w:r>
              <w:t>b)bugete locale:</w:t>
            </w:r>
          </w:p>
          <w:p w14:paraId="1A5B1EC7" w14:textId="77777777" w:rsidR="00A002D7" w:rsidRDefault="00C91810">
            <w:pPr>
              <w:jc w:val="both"/>
            </w:pPr>
            <w:r>
              <w:t>-impozit pe profit</w:t>
            </w:r>
          </w:p>
          <w:p w14:paraId="34B86CE5" w14:textId="77777777" w:rsidR="00A002D7" w:rsidRDefault="00C91810">
            <w:pPr>
              <w:jc w:val="both"/>
            </w:pPr>
            <w:r>
              <w:t>c)bugetul asigurărilor sociale</w:t>
            </w:r>
          </w:p>
          <w:p w14:paraId="22366B4E" w14:textId="77777777" w:rsidR="00A002D7" w:rsidRDefault="00C91810">
            <w:pPr>
              <w:jc w:val="both"/>
            </w:pPr>
            <w:r>
              <w:t>-</w:t>
            </w:r>
            <w:proofErr w:type="spellStart"/>
            <w:r>
              <w:t>contribuţii</w:t>
            </w:r>
            <w:proofErr w:type="spellEnd"/>
            <w:r>
              <w:t xml:space="preserve"> de asigurări</w:t>
            </w:r>
          </w:p>
        </w:tc>
        <w:tc>
          <w:tcPr>
            <w:tcW w:w="1079" w:type="dxa"/>
          </w:tcPr>
          <w:p w14:paraId="1CBF4836" w14:textId="77777777" w:rsidR="00A002D7" w:rsidRDefault="00A002D7">
            <w:pPr>
              <w:pBdr>
                <w:top w:val="nil"/>
                <w:left w:val="nil"/>
                <w:bottom w:val="nil"/>
                <w:right w:val="nil"/>
                <w:between w:val="nil"/>
              </w:pBdr>
              <w:jc w:val="both"/>
              <w:rPr>
                <w:color w:val="000000"/>
              </w:rPr>
            </w:pPr>
          </w:p>
        </w:tc>
        <w:tc>
          <w:tcPr>
            <w:tcW w:w="898" w:type="dxa"/>
          </w:tcPr>
          <w:p w14:paraId="7141EDEC" w14:textId="77777777" w:rsidR="00A002D7" w:rsidRDefault="00A002D7">
            <w:pPr>
              <w:pBdr>
                <w:top w:val="nil"/>
                <w:left w:val="nil"/>
                <w:bottom w:val="nil"/>
                <w:right w:val="nil"/>
                <w:between w:val="nil"/>
              </w:pBdr>
              <w:jc w:val="both"/>
              <w:rPr>
                <w:color w:val="000000"/>
              </w:rPr>
            </w:pPr>
          </w:p>
        </w:tc>
        <w:tc>
          <w:tcPr>
            <w:tcW w:w="1077" w:type="dxa"/>
          </w:tcPr>
          <w:p w14:paraId="09515A51" w14:textId="77777777" w:rsidR="00A002D7" w:rsidRDefault="00A002D7">
            <w:pPr>
              <w:pBdr>
                <w:top w:val="nil"/>
                <w:left w:val="nil"/>
                <w:bottom w:val="nil"/>
                <w:right w:val="nil"/>
                <w:between w:val="nil"/>
              </w:pBdr>
              <w:jc w:val="both"/>
              <w:rPr>
                <w:color w:val="000000"/>
              </w:rPr>
            </w:pPr>
          </w:p>
        </w:tc>
        <w:tc>
          <w:tcPr>
            <w:tcW w:w="1077" w:type="dxa"/>
          </w:tcPr>
          <w:p w14:paraId="11029857" w14:textId="77777777" w:rsidR="00A002D7" w:rsidRDefault="00A002D7">
            <w:pPr>
              <w:pBdr>
                <w:top w:val="nil"/>
                <w:left w:val="nil"/>
                <w:bottom w:val="nil"/>
                <w:right w:val="nil"/>
                <w:between w:val="nil"/>
              </w:pBdr>
              <w:jc w:val="both"/>
              <w:rPr>
                <w:color w:val="000000"/>
              </w:rPr>
            </w:pPr>
          </w:p>
        </w:tc>
        <w:tc>
          <w:tcPr>
            <w:tcW w:w="1256" w:type="dxa"/>
          </w:tcPr>
          <w:p w14:paraId="2B9AFCF3" w14:textId="77777777" w:rsidR="00A002D7" w:rsidRDefault="00A002D7">
            <w:pPr>
              <w:pBdr>
                <w:top w:val="nil"/>
                <w:left w:val="nil"/>
                <w:bottom w:val="nil"/>
                <w:right w:val="nil"/>
                <w:between w:val="nil"/>
              </w:pBdr>
              <w:jc w:val="both"/>
              <w:rPr>
                <w:color w:val="000000"/>
              </w:rPr>
            </w:pPr>
          </w:p>
        </w:tc>
        <w:tc>
          <w:tcPr>
            <w:tcW w:w="2064" w:type="dxa"/>
          </w:tcPr>
          <w:p w14:paraId="73E6CAB8" w14:textId="77777777" w:rsidR="00A002D7" w:rsidRDefault="00A002D7">
            <w:pPr>
              <w:pBdr>
                <w:top w:val="nil"/>
                <w:left w:val="nil"/>
                <w:bottom w:val="nil"/>
                <w:right w:val="nil"/>
                <w:between w:val="nil"/>
              </w:pBdr>
              <w:jc w:val="both"/>
              <w:rPr>
                <w:color w:val="000000"/>
              </w:rPr>
            </w:pPr>
          </w:p>
        </w:tc>
      </w:tr>
      <w:tr w:rsidR="00A002D7" w14:paraId="78A2103C" w14:textId="77777777">
        <w:tc>
          <w:tcPr>
            <w:tcW w:w="3259" w:type="dxa"/>
          </w:tcPr>
          <w:p w14:paraId="16485274" w14:textId="77777777" w:rsidR="00A002D7" w:rsidRDefault="00C91810">
            <w:pPr>
              <w:jc w:val="both"/>
            </w:pPr>
            <w:r>
              <w:t>2.Modificări ale cheltuielilor bugetare din care:</w:t>
            </w:r>
          </w:p>
          <w:p w14:paraId="6F8FED67" w14:textId="77777777" w:rsidR="00A002D7" w:rsidRDefault="00C91810">
            <w:pPr>
              <w:jc w:val="both"/>
            </w:pPr>
            <w:r>
              <w:t>a)bugetul de stat, din acesta:</w:t>
            </w:r>
          </w:p>
          <w:p w14:paraId="7F936A45" w14:textId="77777777" w:rsidR="00A002D7" w:rsidRDefault="00C91810">
            <w:pPr>
              <w:jc w:val="both"/>
            </w:pPr>
            <w:r>
              <w:t>-cheltuieli de personal</w:t>
            </w:r>
          </w:p>
          <w:p w14:paraId="5560E1F6" w14:textId="77777777" w:rsidR="00A002D7" w:rsidRDefault="00C91810">
            <w:pPr>
              <w:jc w:val="both"/>
            </w:pPr>
            <w:r>
              <w:lastRenderedPageBreak/>
              <w:t xml:space="preserve">-bunuri </w:t>
            </w:r>
            <w:proofErr w:type="spellStart"/>
            <w:r>
              <w:t>şi</w:t>
            </w:r>
            <w:proofErr w:type="spellEnd"/>
            <w:r>
              <w:t xml:space="preserve"> servicii</w:t>
            </w:r>
          </w:p>
          <w:p w14:paraId="00C96ED1" w14:textId="77777777" w:rsidR="00A002D7" w:rsidRDefault="00C91810">
            <w:pPr>
              <w:jc w:val="both"/>
            </w:pPr>
            <w:r>
              <w:t>b)bugete locale:</w:t>
            </w:r>
          </w:p>
          <w:p w14:paraId="4AACF03D" w14:textId="77777777" w:rsidR="00A002D7" w:rsidRDefault="00C91810">
            <w:pPr>
              <w:jc w:val="both"/>
            </w:pPr>
            <w:r>
              <w:t>-cheltuieli de personal</w:t>
            </w:r>
          </w:p>
          <w:p w14:paraId="6789235C" w14:textId="77777777" w:rsidR="00A002D7" w:rsidRDefault="00C91810">
            <w:pPr>
              <w:jc w:val="both"/>
            </w:pPr>
            <w:r>
              <w:t xml:space="preserve">-bunuri </w:t>
            </w:r>
            <w:proofErr w:type="spellStart"/>
            <w:r>
              <w:t>şi</w:t>
            </w:r>
            <w:proofErr w:type="spellEnd"/>
            <w:r>
              <w:t xml:space="preserve"> servicii</w:t>
            </w:r>
          </w:p>
          <w:p w14:paraId="131E6581" w14:textId="77777777" w:rsidR="00A002D7" w:rsidRDefault="00C91810">
            <w:pPr>
              <w:jc w:val="both"/>
            </w:pPr>
            <w:r>
              <w:t>c)bugetul asigurărilor sociale</w:t>
            </w:r>
          </w:p>
          <w:p w14:paraId="1028BA9E" w14:textId="77777777" w:rsidR="00A002D7" w:rsidRDefault="00C91810">
            <w:pPr>
              <w:jc w:val="both"/>
            </w:pPr>
            <w:r>
              <w:t>-cheltuieli de personal</w:t>
            </w:r>
          </w:p>
          <w:p w14:paraId="058BEE15" w14:textId="77777777" w:rsidR="00A002D7" w:rsidRDefault="00C91810">
            <w:pPr>
              <w:jc w:val="both"/>
            </w:pPr>
            <w:r>
              <w:t xml:space="preserve">-bunuri </w:t>
            </w:r>
            <w:proofErr w:type="spellStart"/>
            <w:r>
              <w:t>şi</w:t>
            </w:r>
            <w:proofErr w:type="spellEnd"/>
            <w:r>
              <w:t xml:space="preserve"> serv</w:t>
            </w:r>
            <w:r>
              <w:t>icii</w:t>
            </w:r>
          </w:p>
        </w:tc>
        <w:tc>
          <w:tcPr>
            <w:tcW w:w="1079" w:type="dxa"/>
          </w:tcPr>
          <w:p w14:paraId="64395552" w14:textId="77777777" w:rsidR="00A002D7" w:rsidRDefault="00C91810">
            <w:pPr>
              <w:jc w:val="both"/>
            </w:pPr>
            <w:r>
              <w:lastRenderedPageBreak/>
              <w:t>0</w:t>
            </w:r>
          </w:p>
          <w:p w14:paraId="068B25C0" w14:textId="77777777" w:rsidR="00A002D7" w:rsidRDefault="00A002D7">
            <w:pPr>
              <w:jc w:val="both"/>
            </w:pPr>
          </w:p>
        </w:tc>
        <w:tc>
          <w:tcPr>
            <w:tcW w:w="898" w:type="dxa"/>
          </w:tcPr>
          <w:p w14:paraId="2333ED00" w14:textId="77777777" w:rsidR="00A002D7" w:rsidRDefault="00C91810">
            <w:r>
              <w:t>0</w:t>
            </w:r>
          </w:p>
        </w:tc>
        <w:tc>
          <w:tcPr>
            <w:tcW w:w="1077" w:type="dxa"/>
          </w:tcPr>
          <w:p w14:paraId="1A17DFF6" w14:textId="77777777" w:rsidR="00A002D7" w:rsidRDefault="00C91810">
            <w:r>
              <w:t>0</w:t>
            </w:r>
          </w:p>
        </w:tc>
        <w:tc>
          <w:tcPr>
            <w:tcW w:w="1077" w:type="dxa"/>
          </w:tcPr>
          <w:p w14:paraId="20F7945F" w14:textId="77777777" w:rsidR="00A002D7" w:rsidRDefault="00C91810">
            <w:r>
              <w:t>0</w:t>
            </w:r>
          </w:p>
        </w:tc>
        <w:tc>
          <w:tcPr>
            <w:tcW w:w="1256" w:type="dxa"/>
          </w:tcPr>
          <w:p w14:paraId="5503B63C" w14:textId="77777777" w:rsidR="00A002D7" w:rsidRDefault="00C91810">
            <w:r>
              <w:t>0</w:t>
            </w:r>
          </w:p>
        </w:tc>
        <w:tc>
          <w:tcPr>
            <w:tcW w:w="2064" w:type="dxa"/>
          </w:tcPr>
          <w:p w14:paraId="0A72FEB5" w14:textId="77777777" w:rsidR="00A002D7" w:rsidRDefault="00C91810">
            <w:r>
              <w:t>0</w:t>
            </w:r>
          </w:p>
        </w:tc>
      </w:tr>
      <w:tr w:rsidR="00A002D7" w14:paraId="3BFE6927" w14:textId="77777777">
        <w:tc>
          <w:tcPr>
            <w:tcW w:w="3259" w:type="dxa"/>
          </w:tcPr>
          <w:p w14:paraId="7C55CD9F" w14:textId="77777777" w:rsidR="00A002D7" w:rsidRDefault="00C91810">
            <w:pPr>
              <w:jc w:val="both"/>
            </w:pPr>
            <w:r>
              <w:t>3.Impact financiar, plus/minus, din care:</w:t>
            </w:r>
          </w:p>
          <w:p w14:paraId="02BE4879" w14:textId="77777777" w:rsidR="00A002D7" w:rsidRDefault="00C91810">
            <w:pPr>
              <w:jc w:val="both"/>
            </w:pPr>
            <w:r>
              <w:t>a) buget de stat</w:t>
            </w:r>
          </w:p>
          <w:p w14:paraId="58EEF93C" w14:textId="77777777" w:rsidR="00A002D7" w:rsidRDefault="00C91810">
            <w:pPr>
              <w:jc w:val="both"/>
            </w:pPr>
            <w:r>
              <w:t>b)bugete locale</w:t>
            </w:r>
          </w:p>
        </w:tc>
        <w:tc>
          <w:tcPr>
            <w:tcW w:w="7451" w:type="dxa"/>
            <w:gridSpan w:val="6"/>
            <w:vAlign w:val="center"/>
          </w:tcPr>
          <w:p w14:paraId="62DC643D" w14:textId="77777777" w:rsidR="00A002D7" w:rsidRDefault="00C91810">
            <w:r>
              <w:t>Proiectul de act normativ nu se referă la acest subiect.</w:t>
            </w:r>
          </w:p>
        </w:tc>
      </w:tr>
      <w:tr w:rsidR="00A002D7" w14:paraId="2E1735CB" w14:textId="77777777">
        <w:tc>
          <w:tcPr>
            <w:tcW w:w="3259" w:type="dxa"/>
          </w:tcPr>
          <w:p w14:paraId="2A14D3B6" w14:textId="77777777" w:rsidR="00A002D7" w:rsidRDefault="00C91810">
            <w:r>
              <w:t xml:space="preserve">4. Propuneri pentru </w:t>
            </w:r>
          </w:p>
          <w:p w14:paraId="7C0ABF16" w14:textId="77777777" w:rsidR="00A002D7" w:rsidRDefault="00C91810">
            <w:r>
              <w:t xml:space="preserve">acoperirea </w:t>
            </w:r>
            <w:proofErr w:type="spellStart"/>
            <w:r>
              <w:t>creşterilor</w:t>
            </w:r>
            <w:proofErr w:type="spellEnd"/>
            <w:r>
              <w:t xml:space="preserve"> de cheltuieli</w:t>
            </w:r>
          </w:p>
        </w:tc>
        <w:tc>
          <w:tcPr>
            <w:tcW w:w="7451" w:type="dxa"/>
            <w:gridSpan w:val="6"/>
            <w:vAlign w:val="center"/>
          </w:tcPr>
          <w:p w14:paraId="4351A441" w14:textId="77777777" w:rsidR="00A002D7" w:rsidRDefault="00C91810">
            <w:r>
              <w:t>Proiectul de act normativ nu se referă la acest subiect.</w:t>
            </w:r>
          </w:p>
        </w:tc>
      </w:tr>
      <w:tr w:rsidR="00A002D7" w14:paraId="5E52F0D9" w14:textId="77777777">
        <w:tc>
          <w:tcPr>
            <w:tcW w:w="3259" w:type="dxa"/>
          </w:tcPr>
          <w:p w14:paraId="4B7780F7" w14:textId="77777777" w:rsidR="00A002D7" w:rsidRDefault="00C91810">
            <w:r>
              <w:t>5. Propuneri pentru acoperirea scăderilor  de venituri</w:t>
            </w:r>
          </w:p>
        </w:tc>
        <w:tc>
          <w:tcPr>
            <w:tcW w:w="7451" w:type="dxa"/>
            <w:gridSpan w:val="6"/>
            <w:vAlign w:val="center"/>
          </w:tcPr>
          <w:p w14:paraId="429B63DD" w14:textId="77777777" w:rsidR="00A002D7" w:rsidRDefault="00C91810">
            <w:pPr>
              <w:spacing w:line="360" w:lineRule="auto"/>
            </w:pPr>
            <w:r>
              <w:t>Proiectul de act normativ nu se referă la acest subiect.</w:t>
            </w:r>
          </w:p>
        </w:tc>
      </w:tr>
      <w:tr w:rsidR="00A002D7" w14:paraId="0CB2C150" w14:textId="77777777">
        <w:tc>
          <w:tcPr>
            <w:tcW w:w="3259" w:type="dxa"/>
          </w:tcPr>
          <w:p w14:paraId="2EEE8D53" w14:textId="77777777" w:rsidR="00A002D7" w:rsidRDefault="00C91810">
            <w:r>
              <w:t xml:space="preserve">6. Calcule detaliate privind fundamentarea modificărilor  veniturilor </w:t>
            </w:r>
            <w:proofErr w:type="spellStart"/>
            <w:r>
              <w:t>şi</w:t>
            </w:r>
            <w:proofErr w:type="spellEnd"/>
            <w:r>
              <w:t>/sau cheltuielilor bugetare</w:t>
            </w:r>
          </w:p>
          <w:p w14:paraId="10B0707D" w14:textId="77777777" w:rsidR="00A002D7" w:rsidRDefault="00A002D7"/>
        </w:tc>
        <w:tc>
          <w:tcPr>
            <w:tcW w:w="7451" w:type="dxa"/>
            <w:gridSpan w:val="6"/>
            <w:vAlign w:val="center"/>
          </w:tcPr>
          <w:p w14:paraId="5BD81BE3" w14:textId="77777777" w:rsidR="00A002D7" w:rsidRDefault="00C91810">
            <w:pPr>
              <w:spacing w:line="360" w:lineRule="auto"/>
            </w:pPr>
            <w:r>
              <w:t>Proiectul de act normativ nu se referă la acest subiect.</w:t>
            </w:r>
          </w:p>
        </w:tc>
      </w:tr>
      <w:tr w:rsidR="00A002D7" w14:paraId="1CF13444" w14:textId="77777777">
        <w:tc>
          <w:tcPr>
            <w:tcW w:w="3259" w:type="dxa"/>
          </w:tcPr>
          <w:p w14:paraId="40AED87A" w14:textId="77777777" w:rsidR="00A002D7" w:rsidRDefault="00C91810">
            <w:r>
              <w:t xml:space="preserve">7. Alte </w:t>
            </w:r>
            <w:proofErr w:type="spellStart"/>
            <w:r>
              <w:t>informaţii</w:t>
            </w:r>
            <w:proofErr w:type="spellEnd"/>
          </w:p>
        </w:tc>
        <w:tc>
          <w:tcPr>
            <w:tcW w:w="7451" w:type="dxa"/>
            <w:gridSpan w:val="6"/>
          </w:tcPr>
          <w:p w14:paraId="0EB3A5ED" w14:textId="77777777" w:rsidR="00A002D7" w:rsidRDefault="00C91810">
            <w:pPr>
              <w:spacing w:before="120" w:after="120"/>
              <w:jc w:val="both"/>
            </w:pPr>
            <w:r>
              <w:t>Nu au fost identificate.</w:t>
            </w:r>
          </w:p>
        </w:tc>
      </w:tr>
    </w:tbl>
    <w:p w14:paraId="6C6ECCE6" w14:textId="77777777" w:rsidR="00A002D7" w:rsidRDefault="00C91810">
      <w:pPr>
        <w:jc w:val="both"/>
        <w:rPr>
          <w:b/>
          <w:sz w:val="12"/>
          <w:szCs w:val="12"/>
        </w:rPr>
      </w:pPr>
      <w:r>
        <w:rPr>
          <w:b/>
        </w:rPr>
        <w:t xml:space="preserve">   </w:t>
      </w:r>
    </w:p>
    <w:p w14:paraId="71B7763C" w14:textId="77777777" w:rsidR="00A002D7" w:rsidRDefault="00C91810">
      <w:pPr>
        <w:jc w:val="both"/>
        <w:rPr>
          <w:b/>
        </w:rPr>
      </w:pPr>
      <w:r>
        <w:rPr>
          <w:b/>
        </w:rPr>
        <w:t xml:space="preserve">       </w:t>
      </w:r>
      <w:proofErr w:type="spellStart"/>
      <w:r>
        <w:rPr>
          <w:b/>
        </w:rPr>
        <w:t>Secţiunea</w:t>
      </w:r>
      <w:proofErr w:type="spellEnd"/>
      <w:r>
        <w:rPr>
          <w:b/>
        </w:rPr>
        <w:t xml:space="preserve"> a 5-a - Efectele proiectului de act normativ asupra </w:t>
      </w:r>
      <w:proofErr w:type="spellStart"/>
      <w:r>
        <w:rPr>
          <w:b/>
        </w:rPr>
        <w:t>legislaţiei</w:t>
      </w:r>
      <w:proofErr w:type="spellEnd"/>
      <w:r>
        <w:rPr>
          <w:b/>
        </w:rPr>
        <w:t xml:space="preserve"> în vigoare</w:t>
      </w:r>
    </w:p>
    <w:p w14:paraId="263FBE2E" w14:textId="77777777" w:rsidR="00A002D7" w:rsidRDefault="00A002D7">
      <w:pPr>
        <w:jc w:val="both"/>
        <w:rPr>
          <w:b/>
        </w:rPr>
      </w:pPr>
    </w:p>
    <w:tbl>
      <w:tblPr>
        <w:tblStyle w:val="a3"/>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4"/>
        <w:gridCol w:w="5296"/>
      </w:tblGrid>
      <w:tr w:rsidR="00A002D7" w14:paraId="2BAF739D" w14:textId="77777777">
        <w:trPr>
          <w:trHeight w:val="561"/>
        </w:trPr>
        <w:tc>
          <w:tcPr>
            <w:tcW w:w="5414" w:type="dxa"/>
          </w:tcPr>
          <w:p w14:paraId="766FB137" w14:textId="77777777" w:rsidR="00A002D7" w:rsidRDefault="00C91810">
            <w:pPr>
              <w:jc w:val="both"/>
            </w:pPr>
            <w:r>
              <w:t>1.Măsuri normative necesare pentru aplicarea prevederilor proiectului de act normativ:</w:t>
            </w:r>
          </w:p>
          <w:p w14:paraId="35EE8843" w14:textId="77777777" w:rsidR="00A002D7" w:rsidRDefault="00C91810">
            <w:pPr>
              <w:jc w:val="both"/>
            </w:pPr>
            <w:r>
              <w:t xml:space="preserve">a) acte normative în vigoare ce vor fi modificate sau abrogate, ca urmare a </w:t>
            </w:r>
            <w:r>
              <w:t>intrării în vigoare a proiectului de act normativ;</w:t>
            </w:r>
          </w:p>
          <w:p w14:paraId="1AEE40CB" w14:textId="77777777" w:rsidR="00A002D7" w:rsidRDefault="00C91810">
            <w:pPr>
              <w:jc w:val="both"/>
            </w:pPr>
            <w:r>
              <w:t xml:space="preserve">b) acte normative ce urmează a fi elaborate în vederea implementării noilor </w:t>
            </w:r>
            <w:proofErr w:type="spellStart"/>
            <w:r>
              <w:t>dispoziţii</w:t>
            </w:r>
            <w:proofErr w:type="spellEnd"/>
            <w:r>
              <w:t>.</w:t>
            </w:r>
          </w:p>
        </w:tc>
        <w:tc>
          <w:tcPr>
            <w:tcW w:w="5296" w:type="dxa"/>
          </w:tcPr>
          <w:p w14:paraId="4138660A" w14:textId="77777777" w:rsidR="00A002D7" w:rsidRDefault="00C91810">
            <w:pPr>
              <w:pBdr>
                <w:top w:val="nil"/>
                <w:left w:val="nil"/>
                <w:bottom w:val="nil"/>
                <w:right w:val="nil"/>
                <w:between w:val="nil"/>
              </w:pBdr>
              <w:tabs>
                <w:tab w:val="left" w:pos="201"/>
              </w:tabs>
              <w:ind w:left="59"/>
              <w:jc w:val="both"/>
              <w:rPr>
                <w:color w:val="000000"/>
              </w:rPr>
            </w:pPr>
            <w:r>
              <w:rPr>
                <w:color w:val="000000"/>
              </w:rPr>
              <w:t>Proiectul de act normativ nu se referă la acest subiect.</w:t>
            </w:r>
          </w:p>
        </w:tc>
      </w:tr>
      <w:tr w:rsidR="00A002D7" w14:paraId="447689D0" w14:textId="77777777">
        <w:trPr>
          <w:trHeight w:val="636"/>
        </w:trPr>
        <w:tc>
          <w:tcPr>
            <w:tcW w:w="5414" w:type="dxa"/>
          </w:tcPr>
          <w:p w14:paraId="04F309AF" w14:textId="77777777" w:rsidR="00A002D7" w:rsidRDefault="00C9181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1</w:t>
            </w:r>
            <w:r>
              <w:rPr>
                <w:color w:val="000000"/>
                <w:vertAlign w:val="superscript"/>
              </w:rPr>
              <w:t>1</w:t>
            </w:r>
            <w:r>
              <w:rPr>
                <w:color w:val="000000"/>
              </w:rPr>
              <w:t xml:space="preserve">. Compatibilitatea proiectului de act normativ cu </w:t>
            </w:r>
            <w:proofErr w:type="spellStart"/>
            <w:r>
              <w:rPr>
                <w:color w:val="000000"/>
              </w:rPr>
              <w:t>legislaţia</w:t>
            </w:r>
            <w:proofErr w:type="spellEnd"/>
            <w:r>
              <w:rPr>
                <w:color w:val="000000"/>
              </w:rPr>
              <w:t xml:space="preserve"> în domeniul </w:t>
            </w:r>
            <w:proofErr w:type="spellStart"/>
            <w:r>
              <w:rPr>
                <w:color w:val="000000"/>
              </w:rPr>
              <w:t>achiziţiilor</w:t>
            </w:r>
            <w:proofErr w:type="spellEnd"/>
            <w:r>
              <w:rPr>
                <w:color w:val="000000"/>
              </w:rPr>
              <w:t xml:space="preserve"> publice</w:t>
            </w:r>
          </w:p>
        </w:tc>
        <w:tc>
          <w:tcPr>
            <w:tcW w:w="5296" w:type="dxa"/>
          </w:tcPr>
          <w:p w14:paraId="7AC72229" w14:textId="77777777" w:rsidR="00A002D7" w:rsidRDefault="00C91810">
            <w:pPr>
              <w:jc w:val="both"/>
            </w:pPr>
            <w:r>
              <w:t>Proiectul de act normativ nu se referă la acest subiect.</w:t>
            </w:r>
          </w:p>
        </w:tc>
      </w:tr>
      <w:tr w:rsidR="00A002D7" w14:paraId="6191DFDD" w14:textId="77777777">
        <w:tc>
          <w:tcPr>
            <w:tcW w:w="5414" w:type="dxa"/>
          </w:tcPr>
          <w:p w14:paraId="1291C16A" w14:textId="77777777" w:rsidR="00A002D7" w:rsidRDefault="00C91810">
            <w:pPr>
              <w:jc w:val="both"/>
            </w:pPr>
            <w:r>
              <w:t xml:space="preserve">2. Conformitatea  proiectului de act normativ cu </w:t>
            </w:r>
            <w:proofErr w:type="spellStart"/>
            <w:r>
              <w:t>legislaţia</w:t>
            </w:r>
            <w:proofErr w:type="spellEnd"/>
            <w:r>
              <w:t xml:space="preserve"> comunitară în cazul proiectelor ce transpun </w:t>
            </w:r>
            <w:r>
              <w:t>prevederi comunitare</w:t>
            </w:r>
          </w:p>
        </w:tc>
        <w:tc>
          <w:tcPr>
            <w:tcW w:w="5296" w:type="dxa"/>
            <w:vAlign w:val="center"/>
          </w:tcPr>
          <w:p w14:paraId="7CB5B29B" w14:textId="77777777" w:rsidR="00A002D7" w:rsidRDefault="00C91810">
            <w:pPr>
              <w:jc w:val="both"/>
            </w:pPr>
            <w:r>
              <w:t>Proiectul de act normativ nu se referă la acest subiect.</w:t>
            </w:r>
          </w:p>
        </w:tc>
      </w:tr>
      <w:tr w:rsidR="00A002D7" w14:paraId="5651077A" w14:textId="77777777">
        <w:tc>
          <w:tcPr>
            <w:tcW w:w="5414" w:type="dxa"/>
          </w:tcPr>
          <w:p w14:paraId="34460F5B" w14:textId="77777777" w:rsidR="00A002D7" w:rsidRDefault="00C91810">
            <w:pPr>
              <w:jc w:val="both"/>
            </w:pPr>
            <w:r>
              <w:t>3. Măsuri normative necesare aplicării directe a actelor normative comunitare europene</w:t>
            </w:r>
          </w:p>
        </w:tc>
        <w:tc>
          <w:tcPr>
            <w:tcW w:w="5296" w:type="dxa"/>
            <w:vAlign w:val="center"/>
          </w:tcPr>
          <w:p w14:paraId="7EC7E960" w14:textId="77777777" w:rsidR="00A002D7" w:rsidRDefault="00C91810">
            <w:pPr>
              <w:jc w:val="both"/>
            </w:pPr>
            <w:r>
              <w:t>Proiectul de act normativ nu se referă la acest subiect.</w:t>
            </w:r>
          </w:p>
        </w:tc>
      </w:tr>
      <w:tr w:rsidR="00A002D7" w14:paraId="4071EC69" w14:textId="77777777">
        <w:tc>
          <w:tcPr>
            <w:tcW w:w="5414" w:type="dxa"/>
          </w:tcPr>
          <w:p w14:paraId="7D98BA0B" w14:textId="77777777" w:rsidR="00A002D7" w:rsidRDefault="00C91810">
            <w:pPr>
              <w:jc w:val="both"/>
            </w:pPr>
            <w:r>
              <w:t xml:space="preserve">4. Hotărâri ale </w:t>
            </w:r>
            <w:proofErr w:type="spellStart"/>
            <w:r>
              <w:t>Curţii</w:t>
            </w:r>
            <w:proofErr w:type="spellEnd"/>
            <w:r>
              <w:t xml:space="preserve"> de </w:t>
            </w:r>
            <w:proofErr w:type="spellStart"/>
            <w:r>
              <w:t>Justiţie</w:t>
            </w:r>
            <w:proofErr w:type="spellEnd"/>
            <w:r>
              <w:t xml:space="preserve"> a Uniunii Europene</w:t>
            </w:r>
          </w:p>
        </w:tc>
        <w:tc>
          <w:tcPr>
            <w:tcW w:w="5296" w:type="dxa"/>
            <w:vAlign w:val="center"/>
          </w:tcPr>
          <w:p w14:paraId="67263952" w14:textId="77777777" w:rsidR="00A002D7" w:rsidRDefault="00C91810">
            <w:pPr>
              <w:jc w:val="both"/>
            </w:pPr>
            <w:r>
              <w:t>Proiectul de act normativ nu se referă la acest subiect.</w:t>
            </w:r>
          </w:p>
        </w:tc>
      </w:tr>
      <w:tr w:rsidR="00A002D7" w14:paraId="0909F45B" w14:textId="77777777">
        <w:tc>
          <w:tcPr>
            <w:tcW w:w="5414" w:type="dxa"/>
          </w:tcPr>
          <w:p w14:paraId="6D874804" w14:textId="77777777" w:rsidR="00A002D7" w:rsidRDefault="00C91810">
            <w:pPr>
              <w:jc w:val="both"/>
            </w:pPr>
            <w:r>
              <w:t xml:space="preserve">5. Alte acte normative </w:t>
            </w:r>
            <w:proofErr w:type="spellStart"/>
            <w:r>
              <w:t>şi</w:t>
            </w:r>
            <w:proofErr w:type="spellEnd"/>
            <w:r>
              <w:t xml:space="preserve">/sau documente </w:t>
            </w:r>
            <w:proofErr w:type="spellStart"/>
            <w:r>
              <w:t>internaţionale</w:t>
            </w:r>
            <w:proofErr w:type="spellEnd"/>
            <w:r>
              <w:t xml:space="preserve"> din care decurg angajamente</w:t>
            </w:r>
          </w:p>
        </w:tc>
        <w:tc>
          <w:tcPr>
            <w:tcW w:w="5296" w:type="dxa"/>
            <w:vAlign w:val="center"/>
          </w:tcPr>
          <w:p w14:paraId="79E2B36A" w14:textId="77777777" w:rsidR="00A002D7" w:rsidRDefault="00C91810">
            <w:pPr>
              <w:jc w:val="both"/>
            </w:pPr>
            <w:r>
              <w:t>Pro</w:t>
            </w:r>
            <w:r>
              <w:t>iectul de act normativ nu se referă la acest subiect.</w:t>
            </w:r>
          </w:p>
        </w:tc>
      </w:tr>
      <w:tr w:rsidR="00A002D7" w14:paraId="2D91E2D7" w14:textId="77777777">
        <w:tc>
          <w:tcPr>
            <w:tcW w:w="5414" w:type="dxa"/>
          </w:tcPr>
          <w:p w14:paraId="5DEFEA80" w14:textId="77777777" w:rsidR="00A002D7" w:rsidRDefault="00C91810">
            <w:pPr>
              <w:jc w:val="both"/>
            </w:pPr>
            <w:r>
              <w:t xml:space="preserve">6.Alte </w:t>
            </w:r>
            <w:proofErr w:type="spellStart"/>
            <w:r>
              <w:t>informaţii</w:t>
            </w:r>
            <w:proofErr w:type="spellEnd"/>
          </w:p>
        </w:tc>
        <w:tc>
          <w:tcPr>
            <w:tcW w:w="5296" w:type="dxa"/>
            <w:vAlign w:val="center"/>
          </w:tcPr>
          <w:p w14:paraId="5804071E" w14:textId="77777777" w:rsidR="00A002D7" w:rsidRDefault="00C91810">
            <w:pPr>
              <w:jc w:val="both"/>
            </w:pPr>
            <w:r>
              <w:t>Nu au fost identificate.</w:t>
            </w:r>
          </w:p>
        </w:tc>
      </w:tr>
    </w:tbl>
    <w:p w14:paraId="50B81CE2" w14:textId="77777777" w:rsidR="00A002D7" w:rsidRDefault="00C91810">
      <w:pPr>
        <w:rPr>
          <w:b/>
          <w:sz w:val="12"/>
          <w:szCs w:val="12"/>
        </w:rPr>
      </w:pPr>
      <w:r>
        <w:rPr>
          <w:b/>
        </w:rPr>
        <w:t xml:space="preserve">   </w:t>
      </w:r>
    </w:p>
    <w:p w14:paraId="4238EE95" w14:textId="77777777" w:rsidR="00A002D7" w:rsidRDefault="00C91810">
      <w:pPr>
        <w:rPr>
          <w:b/>
        </w:rPr>
      </w:pPr>
      <w:r>
        <w:rPr>
          <w:b/>
        </w:rPr>
        <w:t xml:space="preserve">        6. Consultările efectuate în vederea elaborării proiectului de act normativ</w:t>
      </w:r>
    </w:p>
    <w:p w14:paraId="1D2593DC" w14:textId="77777777" w:rsidR="00A002D7" w:rsidRDefault="00A002D7">
      <w:pPr>
        <w:rPr>
          <w:b/>
        </w:rPr>
      </w:pPr>
    </w:p>
    <w:tbl>
      <w:tblPr>
        <w:tblStyle w:val="a4"/>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4"/>
        <w:gridCol w:w="5296"/>
      </w:tblGrid>
      <w:tr w:rsidR="00A002D7" w14:paraId="5053D3D9" w14:textId="77777777">
        <w:tc>
          <w:tcPr>
            <w:tcW w:w="5414" w:type="dxa"/>
          </w:tcPr>
          <w:p w14:paraId="45A62E92" w14:textId="77777777" w:rsidR="00A002D7" w:rsidRDefault="00C91810">
            <w:pPr>
              <w:jc w:val="both"/>
            </w:pPr>
            <w:r>
              <w:t xml:space="preserve">1.Informaţii privind procesul de consultare cu </w:t>
            </w:r>
            <w:proofErr w:type="spellStart"/>
            <w:r>
              <w:t>organizaţii</w:t>
            </w:r>
            <w:proofErr w:type="spellEnd"/>
            <w:r>
              <w:t xml:space="preserve"> neguverna</w:t>
            </w:r>
            <w:r>
              <w:t xml:space="preserve">mentale, instituite de cercetare </w:t>
            </w:r>
            <w:proofErr w:type="spellStart"/>
            <w:r>
              <w:t>şi</w:t>
            </w:r>
            <w:proofErr w:type="spellEnd"/>
            <w:r>
              <w:t xml:space="preserve"> alte organisme implicate</w:t>
            </w:r>
          </w:p>
        </w:tc>
        <w:tc>
          <w:tcPr>
            <w:tcW w:w="5296" w:type="dxa"/>
          </w:tcPr>
          <w:p w14:paraId="1355741A" w14:textId="77777777" w:rsidR="00A002D7" w:rsidRDefault="00C91810">
            <w:pPr>
              <w:jc w:val="both"/>
            </w:pPr>
            <w:r>
              <w:t xml:space="preserve"> Proiectul de act normativ nu se referă la acest subiect.</w:t>
            </w:r>
          </w:p>
        </w:tc>
      </w:tr>
      <w:tr w:rsidR="00A002D7" w14:paraId="0B242A42" w14:textId="77777777">
        <w:tc>
          <w:tcPr>
            <w:tcW w:w="5414" w:type="dxa"/>
          </w:tcPr>
          <w:p w14:paraId="3AF313D5" w14:textId="77777777" w:rsidR="00A002D7" w:rsidRDefault="00C91810">
            <w:pPr>
              <w:jc w:val="both"/>
            </w:pPr>
            <w:r>
              <w:lastRenderedPageBreak/>
              <w:t xml:space="preserve">2.Fundamentarea alegerii </w:t>
            </w:r>
            <w:proofErr w:type="spellStart"/>
            <w:r>
              <w:t>organizaţiilor</w:t>
            </w:r>
            <w:proofErr w:type="spellEnd"/>
            <w:r>
              <w:t xml:space="preserve"> cu care a avut loc consultarea, precum </w:t>
            </w:r>
            <w:proofErr w:type="spellStart"/>
            <w:r>
              <w:t>şi</w:t>
            </w:r>
            <w:proofErr w:type="spellEnd"/>
            <w:r>
              <w:t xml:space="preserve"> a modului în care activitatea acestor </w:t>
            </w:r>
            <w:proofErr w:type="spellStart"/>
            <w:r>
              <w:t>organizaţii</w:t>
            </w:r>
            <w:proofErr w:type="spellEnd"/>
            <w:r>
              <w:t xml:space="preserve"> este legată de obiectivul proiectului de act normativ</w:t>
            </w:r>
          </w:p>
        </w:tc>
        <w:tc>
          <w:tcPr>
            <w:tcW w:w="5296" w:type="dxa"/>
            <w:vAlign w:val="center"/>
          </w:tcPr>
          <w:p w14:paraId="1A4CB0B7" w14:textId="77777777" w:rsidR="00A002D7" w:rsidRDefault="00C91810">
            <w:pPr>
              <w:spacing w:line="360" w:lineRule="auto"/>
              <w:jc w:val="both"/>
            </w:pPr>
            <w:r>
              <w:t>Proiectul de act normativ nu se referă la acest subiect.</w:t>
            </w:r>
          </w:p>
        </w:tc>
      </w:tr>
      <w:tr w:rsidR="00A002D7" w14:paraId="62E9EA8E" w14:textId="77777777">
        <w:tc>
          <w:tcPr>
            <w:tcW w:w="5414" w:type="dxa"/>
          </w:tcPr>
          <w:p w14:paraId="0575EE49" w14:textId="77777777" w:rsidR="00A002D7" w:rsidRDefault="00C91810">
            <w:pPr>
              <w:jc w:val="both"/>
            </w:pPr>
            <w:r>
              <w:t>3.Consultări</w:t>
            </w:r>
            <w:r>
              <w:t xml:space="preserve">le organizate cu </w:t>
            </w:r>
            <w:proofErr w:type="spellStart"/>
            <w:r>
              <w:t>autorităţile</w:t>
            </w:r>
            <w:proofErr w:type="spellEnd"/>
            <w:r>
              <w:t xml:space="preserve"> </w:t>
            </w:r>
            <w:proofErr w:type="spellStart"/>
            <w:r>
              <w:t>administraţiei</w:t>
            </w:r>
            <w:proofErr w:type="spellEnd"/>
            <w:r>
              <w:t xml:space="preserve"> publice locale, în </w:t>
            </w:r>
            <w:proofErr w:type="spellStart"/>
            <w:r>
              <w:t>situaţia</w:t>
            </w:r>
            <w:proofErr w:type="spellEnd"/>
            <w:r>
              <w:t xml:space="preserve"> în care proiectul de act normativ are ca obiect </w:t>
            </w:r>
            <w:proofErr w:type="spellStart"/>
            <w:r>
              <w:t>activităţi</w:t>
            </w:r>
            <w:proofErr w:type="spellEnd"/>
            <w:r>
              <w:t xml:space="preserve"> ale acestor </w:t>
            </w:r>
            <w:proofErr w:type="spellStart"/>
            <w:r>
              <w:t>autorităţi</w:t>
            </w:r>
            <w:proofErr w:type="spellEnd"/>
            <w:r>
              <w:t xml:space="preserve">, în </w:t>
            </w:r>
            <w:proofErr w:type="spellStart"/>
            <w:r>
              <w:t>condiţiile</w:t>
            </w:r>
            <w:proofErr w:type="spellEnd"/>
            <w:r>
              <w:t xml:space="preserve"> Hotărârii Guvernului nr. 521/2005 privind procedura de consultare a structurilor asoci</w:t>
            </w:r>
            <w:r>
              <w:t xml:space="preserve">ative ale </w:t>
            </w:r>
            <w:proofErr w:type="spellStart"/>
            <w:r>
              <w:t>autorităţilor</w:t>
            </w:r>
            <w:proofErr w:type="spellEnd"/>
            <w:r>
              <w:t xml:space="preserve"> </w:t>
            </w:r>
            <w:proofErr w:type="spellStart"/>
            <w:r>
              <w:t>administraţiei</w:t>
            </w:r>
            <w:proofErr w:type="spellEnd"/>
            <w:r>
              <w:t xml:space="preserve"> publice locale la elaborarea proiectelor de acte normative</w:t>
            </w:r>
          </w:p>
        </w:tc>
        <w:tc>
          <w:tcPr>
            <w:tcW w:w="5296" w:type="dxa"/>
            <w:vAlign w:val="center"/>
          </w:tcPr>
          <w:p w14:paraId="184324DD" w14:textId="77777777" w:rsidR="00A002D7" w:rsidRDefault="00C91810">
            <w:pPr>
              <w:jc w:val="both"/>
            </w:pPr>
            <w:r>
              <w:t xml:space="preserve"> A fost realizată procedura de consultare în conformitate cu prevederile Ordonanței de urgență a Guvernului nr. 57/2019 privind Codul administrativ, cu modifi</w:t>
            </w:r>
            <w:r>
              <w:t xml:space="preserve">cările și completările ulterioare, precum și ale Hotărârii Guvernului nr. 521/2005 privind procedura de consultare a structurilor asociative ale </w:t>
            </w:r>
            <w:proofErr w:type="spellStart"/>
            <w:r>
              <w:t>autorităţilor</w:t>
            </w:r>
            <w:proofErr w:type="spellEnd"/>
            <w:r>
              <w:t xml:space="preserve"> </w:t>
            </w:r>
            <w:proofErr w:type="spellStart"/>
            <w:r>
              <w:t>administraţiei</w:t>
            </w:r>
            <w:proofErr w:type="spellEnd"/>
            <w:r>
              <w:t xml:space="preserve"> publice locale la elaborarea proiectelor de acte normative, cu modificările ulteri</w:t>
            </w:r>
            <w:r>
              <w:t>oare.</w:t>
            </w:r>
          </w:p>
        </w:tc>
      </w:tr>
      <w:tr w:rsidR="00A002D7" w14:paraId="570C1D62" w14:textId="77777777">
        <w:tc>
          <w:tcPr>
            <w:tcW w:w="5414" w:type="dxa"/>
          </w:tcPr>
          <w:p w14:paraId="42D8333C" w14:textId="77777777" w:rsidR="00A002D7" w:rsidRDefault="00C91810">
            <w:pPr>
              <w:jc w:val="both"/>
            </w:pPr>
            <w:r>
              <w:t xml:space="preserve">4.Consultările </w:t>
            </w:r>
            <w:proofErr w:type="spellStart"/>
            <w:r>
              <w:t>desfăşurate</w:t>
            </w:r>
            <w:proofErr w:type="spellEnd"/>
            <w:r>
              <w:t xml:space="preserve"> în cadrul consiliilor interministeriale, în conformitate cu prevederile Hotărârii Guvernului nr. 750/2005 privind constituirea consiliilor interministeriale permanente</w:t>
            </w:r>
          </w:p>
        </w:tc>
        <w:tc>
          <w:tcPr>
            <w:tcW w:w="5296" w:type="dxa"/>
            <w:vAlign w:val="center"/>
          </w:tcPr>
          <w:p w14:paraId="7B3262FA" w14:textId="77777777" w:rsidR="00A002D7" w:rsidRDefault="00C91810">
            <w:pPr>
              <w:jc w:val="both"/>
            </w:pPr>
            <w:r>
              <w:t>Proiectul de act normativ nu se referă la acest subiec</w:t>
            </w:r>
            <w:r>
              <w:t>t.</w:t>
            </w:r>
          </w:p>
        </w:tc>
      </w:tr>
      <w:tr w:rsidR="00A002D7" w14:paraId="3A957D36" w14:textId="77777777">
        <w:tc>
          <w:tcPr>
            <w:tcW w:w="5414" w:type="dxa"/>
          </w:tcPr>
          <w:p w14:paraId="06D02F84" w14:textId="77777777" w:rsidR="00A002D7" w:rsidRDefault="00C91810">
            <w:r>
              <w:t>5.Informaţii privind avizarea de către:</w:t>
            </w:r>
          </w:p>
          <w:p w14:paraId="7BBB988A" w14:textId="77777777" w:rsidR="00A002D7" w:rsidRDefault="00C91810">
            <w:r>
              <w:t>a) Consiliul legislativ</w:t>
            </w:r>
          </w:p>
          <w:p w14:paraId="66D7F22C" w14:textId="77777777" w:rsidR="00A002D7" w:rsidRDefault="00C91810">
            <w:r>
              <w:t xml:space="preserve">b)Consiliul Suprem de Apărare a </w:t>
            </w:r>
            <w:proofErr w:type="spellStart"/>
            <w:r>
              <w:t>Ţării</w:t>
            </w:r>
            <w:proofErr w:type="spellEnd"/>
          </w:p>
          <w:p w14:paraId="05726E8F" w14:textId="77777777" w:rsidR="00A002D7" w:rsidRDefault="00C91810">
            <w:r>
              <w:t xml:space="preserve">c)Consiliul Economic </w:t>
            </w:r>
            <w:proofErr w:type="spellStart"/>
            <w:r>
              <w:t>şi</w:t>
            </w:r>
            <w:proofErr w:type="spellEnd"/>
            <w:r>
              <w:t xml:space="preserve"> Social</w:t>
            </w:r>
          </w:p>
          <w:p w14:paraId="12081EFF" w14:textId="77777777" w:rsidR="00A002D7" w:rsidRDefault="00C91810">
            <w:r>
              <w:t xml:space="preserve">d)Consiliul </w:t>
            </w:r>
            <w:proofErr w:type="spellStart"/>
            <w:r>
              <w:t>Concurenţei</w:t>
            </w:r>
            <w:proofErr w:type="spellEnd"/>
            <w:r>
              <w:t xml:space="preserve"> </w:t>
            </w:r>
          </w:p>
          <w:p w14:paraId="5C99D535" w14:textId="77777777" w:rsidR="00A002D7" w:rsidRDefault="00C91810">
            <w:r>
              <w:t>e)Curtea de Conturi</w:t>
            </w:r>
          </w:p>
        </w:tc>
        <w:tc>
          <w:tcPr>
            <w:tcW w:w="5296" w:type="dxa"/>
            <w:vAlign w:val="center"/>
          </w:tcPr>
          <w:p w14:paraId="1495316A" w14:textId="77777777" w:rsidR="00A002D7" w:rsidRDefault="00C91810">
            <w:pPr>
              <w:jc w:val="both"/>
            </w:pPr>
            <w:r>
              <w:t>Prezentul proiect de act normativ este supus avizării Consiliului Legislativ și s-a solicitat punctul de vedere al Curții de Conturi, al Autorității de Audit din cadrul Curții de Conturi a României și al Consiliului Concurenței.</w:t>
            </w:r>
          </w:p>
        </w:tc>
      </w:tr>
      <w:tr w:rsidR="00A002D7" w14:paraId="1876B17E" w14:textId="77777777">
        <w:tc>
          <w:tcPr>
            <w:tcW w:w="5414" w:type="dxa"/>
          </w:tcPr>
          <w:p w14:paraId="13F141F5" w14:textId="77777777" w:rsidR="00A002D7" w:rsidRDefault="00C91810">
            <w:r>
              <w:t xml:space="preserve">6.Alte </w:t>
            </w:r>
            <w:proofErr w:type="spellStart"/>
            <w:r>
              <w:t>informaţii</w:t>
            </w:r>
            <w:proofErr w:type="spellEnd"/>
          </w:p>
        </w:tc>
        <w:tc>
          <w:tcPr>
            <w:tcW w:w="5296" w:type="dxa"/>
            <w:vAlign w:val="center"/>
          </w:tcPr>
          <w:p w14:paraId="297C1678" w14:textId="77777777" w:rsidR="00A002D7" w:rsidRDefault="00C91810">
            <w:pPr>
              <w:spacing w:line="360" w:lineRule="auto"/>
              <w:jc w:val="both"/>
            </w:pPr>
            <w:r>
              <w:t>Nu au fo</w:t>
            </w:r>
            <w:r>
              <w:t>st identificate.</w:t>
            </w:r>
          </w:p>
        </w:tc>
      </w:tr>
    </w:tbl>
    <w:p w14:paraId="1C83F595" w14:textId="77777777" w:rsidR="00A002D7" w:rsidRDefault="00A002D7">
      <w:pPr>
        <w:pBdr>
          <w:top w:val="nil"/>
          <w:left w:val="nil"/>
          <w:bottom w:val="nil"/>
          <w:right w:val="nil"/>
          <w:between w:val="nil"/>
        </w:pBdr>
        <w:ind w:left="180" w:right="98"/>
        <w:jc w:val="both"/>
        <w:rPr>
          <w:b/>
          <w:color w:val="000000"/>
        </w:rPr>
      </w:pPr>
    </w:p>
    <w:p w14:paraId="0D71218F" w14:textId="77777777" w:rsidR="00A002D7" w:rsidRDefault="00C91810">
      <w:pPr>
        <w:pBdr>
          <w:top w:val="nil"/>
          <w:left w:val="nil"/>
          <w:bottom w:val="nil"/>
          <w:right w:val="nil"/>
          <w:between w:val="nil"/>
        </w:pBdr>
        <w:ind w:left="180" w:right="98"/>
        <w:jc w:val="both"/>
        <w:rPr>
          <w:b/>
          <w:color w:val="000000"/>
        </w:rPr>
      </w:pPr>
      <w:proofErr w:type="spellStart"/>
      <w:r>
        <w:rPr>
          <w:b/>
          <w:color w:val="000000"/>
        </w:rPr>
        <w:t>Secţiunea</w:t>
      </w:r>
      <w:proofErr w:type="spellEnd"/>
      <w:r>
        <w:rPr>
          <w:b/>
          <w:color w:val="000000"/>
        </w:rPr>
        <w:t xml:space="preserve"> a 7-a  </w:t>
      </w:r>
      <w:proofErr w:type="spellStart"/>
      <w:r>
        <w:rPr>
          <w:b/>
          <w:color w:val="000000"/>
        </w:rPr>
        <w:t>Activităţi</w:t>
      </w:r>
      <w:proofErr w:type="spellEnd"/>
      <w:r>
        <w:rPr>
          <w:b/>
          <w:color w:val="000000"/>
        </w:rPr>
        <w:t xml:space="preserve"> de informare publică privind elaborarea </w:t>
      </w:r>
      <w:proofErr w:type="spellStart"/>
      <w:r>
        <w:rPr>
          <w:b/>
          <w:color w:val="000000"/>
        </w:rPr>
        <w:t>şi</w:t>
      </w:r>
      <w:proofErr w:type="spellEnd"/>
      <w:r>
        <w:rPr>
          <w:b/>
          <w:color w:val="000000"/>
        </w:rPr>
        <w:t xml:space="preserve"> implementarea proiectului de act normativ</w:t>
      </w:r>
    </w:p>
    <w:p w14:paraId="482128EA" w14:textId="77777777" w:rsidR="00A002D7" w:rsidRDefault="00A002D7">
      <w:pPr>
        <w:pBdr>
          <w:top w:val="nil"/>
          <w:left w:val="nil"/>
          <w:bottom w:val="nil"/>
          <w:right w:val="nil"/>
          <w:between w:val="nil"/>
        </w:pBdr>
        <w:ind w:left="180" w:right="98"/>
        <w:jc w:val="both"/>
        <w:rPr>
          <w:b/>
          <w:color w:val="000000"/>
        </w:rPr>
      </w:pPr>
    </w:p>
    <w:tbl>
      <w:tblPr>
        <w:tblStyle w:val="a5"/>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07"/>
        <w:gridCol w:w="6403"/>
      </w:tblGrid>
      <w:tr w:rsidR="00A002D7" w14:paraId="1C2AD81E" w14:textId="77777777">
        <w:tc>
          <w:tcPr>
            <w:tcW w:w="4307" w:type="dxa"/>
          </w:tcPr>
          <w:p w14:paraId="3B2B7B2A" w14:textId="77777777" w:rsidR="00A002D7" w:rsidRDefault="00C91810">
            <w:pPr>
              <w:jc w:val="both"/>
            </w:pPr>
            <w:r>
              <w:t xml:space="preserve">1.Informarea </w:t>
            </w:r>
            <w:proofErr w:type="spellStart"/>
            <w:r>
              <w:t>societăţii</w:t>
            </w:r>
            <w:proofErr w:type="spellEnd"/>
            <w:r>
              <w:t xml:space="preserve"> civile cu privire la necesitatea elaborării proiectului de act normativ</w:t>
            </w:r>
          </w:p>
        </w:tc>
        <w:tc>
          <w:tcPr>
            <w:tcW w:w="6403" w:type="dxa"/>
          </w:tcPr>
          <w:p w14:paraId="0E20D227" w14:textId="1135AF5D" w:rsidR="00A002D7" w:rsidRDefault="00C91810">
            <w:pPr>
              <w:jc w:val="both"/>
            </w:pPr>
            <w:r>
              <w:t>Prezentul proiect de act normativ respectă prevederile art. 7 alin. (13) din Legea nr. 52/2003 privind transparența decizională în administrația publică, republ</w:t>
            </w:r>
            <w:r>
              <w:t xml:space="preserve">icată, și a fost publicat în dezbatere publică pe pagina de internet a Ministerului Fondurilor Europene la data de </w:t>
            </w:r>
            <w:r w:rsidR="00344F2B">
              <w:t>12.11.2020.</w:t>
            </w:r>
          </w:p>
        </w:tc>
      </w:tr>
      <w:tr w:rsidR="00A002D7" w14:paraId="351DE095" w14:textId="77777777">
        <w:tc>
          <w:tcPr>
            <w:tcW w:w="4307" w:type="dxa"/>
          </w:tcPr>
          <w:p w14:paraId="32B1C859" w14:textId="77777777" w:rsidR="00A002D7" w:rsidRDefault="00C91810">
            <w:pPr>
              <w:jc w:val="both"/>
            </w:pPr>
            <w:r>
              <w:t xml:space="preserve">2.Informarea </w:t>
            </w:r>
            <w:proofErr w:type="spellStart"/>
            <w:r>
              <w:t>societăţii</w:t>
            </w:r>
            <w:proofErr w:type="spellEnd"/>
            <w:r>
              <w:t xml:space="preserve"> civile cu privire la eventualul impact asupra mediului în urma implementării proiectului de act normativ, prec</w:t>
            </w:r>
            <w:r>
              <w:t xml:space="preserve">um </w:t>
            </w:r>
            <w:proofErr w:type="spellStart"/>
            <w:r>
              <w:t>şi</w:t>
            </w:r>
            <w:proofErr w:type="spellEnd"/>
            <w:r>
              <w:t xml:space="preserve"> efectele asupra </w:t>
            </w:r>
            <w:proofErr w:type="spellStart"/>
            <w:r>
              <w:t>sănătăţii</w:t>
            </w:r>
            <w:proofErr w:type="spellEnd"/>
            <w:r>
              <w:t xml:space="preserve"> </w:t>
            </w:r>
            <w:proofErr w:type="spellStart"/>
            <w:r>
              <w:t>şi</w:t>
            </w:r>
            <w:proofErr w:type="spellEnd"/>
            <w:r>
              <w:t xml:space="preserve"> </w:t>
            </w:r>
            <w:proofErr w:type="spellStart"/>
            <w:r>
              <w:t>securităţii</w:t>
            </w:r>
            <w:proofErr w:type="spellEnd"/>
            <w:r>
              <w:t xml:space="preserve"> </w:t>
            </w:r>
            <w:proofErr w:type="spellStart"/>
            <w:r>
              <w:t>cetăţeanului</w:t>
            </w:r>
            <w:proofErr w:type="spellEnd"/>
            <w:r>
              <w:t xml:space="preserve"> sau </w:t>
            </w:r>
            <w:proofErr w:type="spellStart"/>
            <w:r>
              <w:t>diversităţii</w:t>
            </w:r>
            <w:proofErr w:type="spellEnd"/>
            <w:r>
              <w:t xml:space="preserve"> biologice</w:t>
            </w:r>
          </w:p>
        </w:tc>
        <w:tc>
          <w:tcPr>
            <w:tcW w:w="6403" w:type="dxa"/>
          </w:tcPr>
          <w:p w14:paraId="695FC2D0" w14:textId="77777777" w:rsidR="00A002D7" w:rsidRDefault="00A002D7">
            <w:pPr>
              <w:jc w:val="both"/>
            </w:pPr>
          </w:p>
          <w:p w14:paraId="19C1A684" w14:textId="77777777" w:rsidR="00A002D7" w:rsidRDefault="00C91810">
            <w:pPr>
              <w:jc w:val="both"/>
            </w:pPr>
            <w:r>
              <w:t>Proiectul de act normativ nu se referă la acest subiect.</w:t>
            </w:r>
          </w:p>
        </w:tc>
      </w:tr>
      <w:tr w:rsidR="00A002D7" w14:paraId="4DE6E967" w14:textId="77777777">
        <w:tc>
          <w:tcPr>
            <w:tcW w:w="4307" w:type="dxa"/>
          </w:tcPr>
          <w:p w14:paraId="563D8AAC" w14:textId="77777777" w:rsidR="00A002D7" w:rsidRDefault="00C91810">
            <w:r>
              <w:t xml:space="preserve">3. Alte </w:t>
            </w:r>
            <w:proofErr w:type="spellStart"/>
            <w:r>
              <w:t>informaţii</w:t>
            </w:r>
            <w:proofErr w:type="spellEnd"/>
          </w:p>
        </w:tc>
        <w:tc>
          <w:tcPr>
            <w:tcW w:w="6403" w:type="dxa"/>
            <w:vAlign w:val="center"/>
          </w:tcPr>
          <w:p w14:paraId="11FDBA76" w14:textId="77777777" w:rsidR="00A002D7" w:rsidRDefault="00C91810">
            <w:pPr>
              <w:jc w:val="both"/>
            </w:pPr>
            <w:r>
              <w:t>Nu au fost identificate.</w:t>
            </w:r>
          </w:p>
        </w:tc>
      </w:tr>
    </w:tbl>
    <w:p w14:paraId="2E94F886" w14:textId="77777777" w:rsidR="00A002D7" w:rsidRDefault="00A002D7">
      <w:pPr>
        <w:ind w:left="180"/>
        <w:rPr>
          <w:b/>
        </w:rPr>
      </w:pPr>
    </w:p>
    <w:p w14:paraId="240EF9EF" w14:textId="77777777" w:rsidR="00A002D7" w:rsidRDefault="00C91810">
      <w:pPr>
        <w:ind w:left="180"/>
        <w:rPr>
          <w:b/>
        </w:rPr>
      </w:pPr>
      <w:proofErr w:type="spellStart"/>
      <w:r>
        <w:rPr>
          <w:b/>
        </w:rPr>
        <w:t>Secţiunea</w:t>
      </w:r>
      <w:proofErr w:type="spellEnd"/>
      <w:r>
        <w:rPr>
          <w:b/>
        </w:rPr>
        <w:t xml:space="preserve"> a 8- a. Măsuri de implementare</w:t>
      </w:r>
    </w:p>
    <w:p w14:paraId="6D9703B6" w14:textId="77777777" w:rsidR="00A002D7" w:rsidRDefault="00A002D7">
      <w:pPr>
        <w:ind w:left="180"/>
        <w:rPr>
          <w:b/>
        </w:rPr>
      </w:pPr>
    </w:p>
    <w:tbl>
      <w:tblPr>
        <w:tblStyle w:val="a6"/>
        <w:tblW w:w="1071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14"/>
        <w:gridCol w:w="6396"/>
      </w:tblGrid>
      <w:tr w:rsidR="00A002D7" w14:paraId="4DCDAE29" w14:textId="77777777">
        <w:tc>
          <w:tcPr>
            <w:tcW w:w="4314" w:type="dxa"/>
          </w:tcPr>
          <w:p w14:paraId="55765EAB" w14:textId="77777777" w:rsidR="00A002D7" w:rsidRDefault="00C91810">
            <w:pPr>
              <w:jc w:val="both"/>
            </w:pPr>
            <w:r>
              <w:t xml:space="preserve">1. Măsuri de punere în aplicare a proiectului de act normativ de către </w:t>
            </w:r>
            <w:proofErr w:type="spellStart"/>
            <w:r>
              <w:t>autorităţile</w:t>
            </w:r>
            <w:proofErr w:type="spellEnd"/>
            <w:r>
              <w:t xml:space="preserve"> administrative publice centrale </w:t>
            </w:r>
            <w:proofErr w:type="spellStart"/>
            <w:r>
              <w:t>şi</w:t>
            </w:r>
            <w:proofErr w:type="spellEnd"/>
            <w:r>
              <w:t>/sau locale-</w:t>
            </w:r>
            <w:proofErr w:type="spellStart"/>
            <w:r>
              <w:t>înfiinţarea</w:t>
            </w:r>
            <w:proofErr w:type="spellEnd"/>
            <w:r>
              <w:t xml:space="preserve"> sau extinderea </w:t>
            </w:r>
            <w:proofErr w:type="spellStart"/>
            <w:r>
              <w:t>competenţei</w:t>
            </w:r>
            <w:proofErr w:type="spellEnd"/>
            <w:r>
              <w:t xml:space="preserve"> </w:t>
            </w:r>
            <w:proofErr w:type="spellStart"/>
            <w:r>
              <w:t>instituţiilor</w:t>
            </w:r>
            <w:proofErr w:type="spellEnd"/>
            <w:r>
              <w:t xml:space="preserve"> existente</w:t>
            </w:r>
          </w:p>
        </w:tc>
        <w:tc>
          <w:tcPr>
            <w:tcW w:w="6396" w:type="dxa"/>
            <w:vAlign w:val="center"/>
          </w:tcPr>
          <w:p w14:paraId="391AA235" w14:textId="77777777" w:rsidR="00A002D7" w:rsidRDefault="00C91810">
            <w:pPr>
              <w:pStyle w:val="Heading1"/>
              <w:jc w:val="both"/>
              <w:rPr>
                <w:sz w:val="24"/>
                <w:szCs w:val="24"/>
              </w:rPr>
            </w:pPr>
            <w:r>
              <w:rPr>
                <w:sz w:val="24"/>
                <w:szCs w:val="24"/>
              </w:rPr>
              <w:t>Proiectul de act norm</w:t>
            </w:r>
            <w:r>
              <w:rPr>
                <w:sz w:val="24"/>
                <w:szCs w:val="24"/>
              </w:rPr>
              <w:t>ativ nu se referă la acest subiect.</w:t>
            </w:r>
          </w:p>
        </w:tc>
      </w:tr>
      <w:tr w:rsidR="00A002D7" w14:paraId="46061D9B" w14:textId="77777777">
        <w:tc>
          <w:tcPr>
            <w:tcW w:w="4314" w:type="dxa"/>
          </w:tcPr>
          <w:p w14:paraId="669F2BBD" w14:textId="77777777" w:rsidR="00A002D7" w:rsidRDefault="00C91810">
            <w:pPr>
              <w:jc w:val="both"/>
            </w:pPr>
            <w:r>
              <w:t xml:space="preserve">2. Alte </w:t>
            </w:r>
            <w:proofErr w:type="spellStart"/>
            <w:r>
              <w:t>informaţii</w:t>
            </w:r>
            <w:proofErr w:type="spellEnd"/>
          </w:p>
        </w:tc>
        <w:tc>
          <w:tcPr>
            <w:tcW w:w="6396" w:type="dxa"/>
            <w:vAlign w:val="center"/>
          </w:tcPr>
          <w:p w14:paraId="035DF17E" w14:textId="77777777" w:rsidR="00A002D7" w:rsidRDefault="00C91810">
            <w:pPr>
              <w:jc w:val="both"/>
            </w:pPr>
            <w:r>
              <w:t>Nu au fost identificate.</w:t>
            </w:r>
          </w:p>
        </w:tc>
      </w:tr>
    </w:tbl>
    <w:p w14:paraId="73AA8AF0" w14:textId="77777777" w:rsidR="00A002D7" w:rsidRDefault="00A002D7">
      <w:pPr>
        <w:widowControl w:val="0"/>
        <w:spacing w:line="276" w:lineRule="auto"/>
        <w:jc w:val="both"/>
      </w:pPr>
    </w:p>
    <w:p w14:paraId="70A10BE6" w14:textId="77777777" w:rsidR="00A002D7" w:rsidRDefault="00C91810">
      <w:pPr>
        <w:widowControl w:val="0"/>
        <w:spacing w:line="276" w:lineRule="auto"/>
        <w:jc w:val="both"/>
      </w:pPr>
      <w:r>
        <w:t xml:space="preserve">Față de cele prezentate mai sus, a fost promovat prezentul proiect de </w:t>
      </w:r>
      <w:proofErr w:type="spellStart"/>
      <w:r>
        <w:rPr>
          <w:b/>
        </w:rPr>
        <w:t>Ordonanţă</w:t>
      </w:r>
      <w:proofErr w:type="spellEnd"/>
      <w:r>
        <w:rPr>
          <w:b/>
        </w:rPr>
        <w:t xml:space="preserve"> de </w:t>
      </w:r>
      <w:proofErr w:type="spellStart"/>
      <w:r>
        <w:rPr>
          <w:b/>
        </w:rPr>
        <w:t>urgenţă</w:t>
      </w:r>
      <w:proofErr w:type="spellEnd"/>
      <w:r>
        <w:rPr>
          <w:b/>
        </w:rPr>
        <w:t xml:space="preserve"> a Guvernului</w:t>
      </w:r>
      <w:r>
        <w:t xml:space="preserve"> </w:t>
      </w:r>
      <w:r>
        <w:rPr>
          <w:b/>
        </w:rPr>
        <w:t xml:space="preserve">privind modificarea și completarea unor acte normative în domeniul fondurilor europene, </w:t>
      </w:r>
      <w:r>
        <w:t xml:space="preserve">care în forma prezentată, a fost avizat de Consiliul Legislativ, precum </w:t>
      </w:r>
      <w:proofErr w:type="spellStart"/>
      <w:r>
        <w:t>şi</w:t>
      </w:r>
      <w:proofErr w:type="spellEnd"/>
      <w:r>
        <w:t xml:space="preserve"> de către ministerele interesate </w:t>
      </w:r>
      <w:proofErr w:type="spellStart"/>
      <w:r>
        <w:t>şi</w:t>
      </w:r>
      <w:proofErr w:type="spellEnd"/>
      <w:r>
        <w:t xml:space="preserve"> pe care îl supunem adoptării.</w:t>
      </w:r>
    </w:p>
    <w:p w14:paraId="6D527A5A" w14:textId="77777777" w:rsidR="00A002D7" w:rsidRDefault="00C91810">
      <w:pPr>
        <w:jc w:val="center"/>
        <w:rPr>
          <w:b/>
        </w:rPr>
      </w:pPr>
      <w:r>
        <w:rPr>
          <w:b/>
        </w:rPr>
        <w:t>MINISTRUL FONDURILOR EUROPEN</w:t>
      </w:r>
      <w:r>
        <w:rPr>
          <w:b/>
        </w:rPr>
        <w:t>E</w:t>
      </w:r>
    </w:p>
    <w:p w14:paraId="102CBC05" w14:textId="77777777" w:rsidR="00A002D7" w:rsidRDefault="00A002D7">
      <w:pPr>
        <w:jc w:val="center"/>
        <w:rPr>
          <w:b/>
        </w:rPr>
      </w:pPr>
    </w:p>
    <w:p w14:paraId="1F35BFE5" w14:textId="77777777" w:rsidR="00A002D7" w:rsidRDefault="00A002D7">
      <w:pPr>
        <w:jc w:val="center"/>
        <w:rPr>
          <w:b/>
        </w:rPr>
      </w:pPr>
    </w:p>
    <w:p w14:paraId="6C0F70E2" w14:textId="77777777" w:rsidR="00A002D7" w:rsidRDefault="00C91810">
      <w:pPr>
        <w:jc w:val="center"/>
        <w:rPr>
          <w:b/>
        </w:rPr>
      </w:pPr>
      <w:r>
        <w:rPr>
          <w:b/>
        </w:rPr>
        <w:t xml:space="preserve">Ioan Marcel BOLOŞ </w:t>
      </w:r>
    </w:p>
    <w:p w14:paraId="276A6CE3" w14:textId="77777777" w:rsidR="00A002D7" w:rsidRDefault="00A002D7">
      <w:pPr>
        <w:widowControl w:val="0"/>
        <w:spacing w:line="276" w:lineRule="auto"/>
        <w:jc w:val="both"/>
        <w:rPr>
          <w:b/>
        </w:rPr>
      </w:pPr>
    </w:p>
    <w:p w14:paraId="38E011C3" w14:textId="77777777" w:rsidR="00A002D7" w:rsidRDefault="00A002D7">
      <w:pPr>
        <w:jc w:val="both"/>
        <w:rPr>
          <w:sz w:val="22"/>
          <w:szCs w:val="22"/>
        </w:rPr>
      </w:pPr>
    </w:p>
    <w:p w14:paraId="7C0BA294" w14:textId="1487BC0D" w:rsidR="00A002D7" w:rsidRDefault="00C91810">
      <w:pPr>
        <w:spacing w:after="240"/>
        <w:ind w:left="720" w:hanging="720"/>
        <w:jc w:val="center"/>
        <w:rPr>
          <w:b/>
          <w:u w:val="single"/>
        </w:rPr>
      </w:pPr>
      <w:r>
        <w:rPr>
          <w:b/>
          <w:u w:val="single"/>
        </w:rPr>
        <w:t>AVIZĂM FAVORABIL:</w:t>
      </w:r>
    </w:p>
    <w:tbl>
      <w:tblPr>
        <w:tblStyle w:val="a7"/>
        <w:tblW w:w="10104" w:type="dxa"/>
        <w:tblInd w:w="534" w:type="dxa"/>
        <w:tblBorders>
          <w:top w:val="nil"/>
          <w:left w:val="nil"/>
          <w:bottom w:val="nil"/>
          <w:right w:val="nil"/>
          <w:insideH w:val="nil"/>
          <w:insideV w:val="nil"/>
        </w:tblBorders>
        <w:shd w:val="clear" w:color="auto" w:fill="FFFFFF" w:themeFill="background1"/>
        <w:tblLayout w:type="fixed"/>
        <w:tblLook w:val="0400" w:firstRow="0" w:lastRow="0" w:firstColumn="0" w:lastColumn="0" w:noHBand="0" w:noVBand="1"/>
      </w:tblPr>
      <w:tblGrid>
        <w:gridCol w:w="10104"/>
      </w:tblGrid>
      <w:tr w:rsidR="00A002D7" w14:paraId="6F8BB9D7" w14:textId="77777777" w:rsidTr="006B107F">
        <w:trPr>
          <w:trHeight w:val="965"/>
        </w:trPr>
        <w:tc>
          <w:tcPr>
            <w:tcW w:w="10104" w:type="dxa"/>
            <w:shd w:val="clear" w:color="auto" w:fill="FFFFFF" w:themeFill="background1"/>
          </w:tcPr>
          <w:p w14:paraId="6568F802" w14:textId="77777777" w:rsidR="00A002D7" w:rsidRDefault="00A002D7">
            <w:pPr>
              <w:widowControl w:val="0"/>
              <w:pBdr>
                <w:top w:val="nil"/>
                <w:left w:val="nil"/>
                <w:bottom w:val="nil"/>
                <w:right w:val="nil"/>
                <w:between w:val="nil"/>
              </w:pBdr>
              <w:spacing w:line="276" w:lineRule="auto"/>
              <w:rPr>
                <w:b/>
                <w:u w:val="single"/>
              </w:rPr>
            </w:pPr>
          </w:p>
          <w:tbl>
            <w:tblPr>
              <w:tblStyle w:val="a8"/>
              <w:tblW w:w="9877" w:type="dxa"/>
              <w:tblInd w:w="1" w:type="dxa"/>
              <w:tblBorders>
                <w:top w:val="nil"/>
                <w:left w:val="nil"/>
                <w:bottom w:val="nil"/>
                <w:right w:val="nil"/>
                <w:insideH w:val="nil"/>
                <w:insideV w:val="nil"/>
              </w:tblBorders>
              <w:shd w:val="clear" w:color="auto" w:fill="FFFFFF" w:themeFill="background1"/>
              <w:tblLayout w:type="fixed"/>
              <w:tblLook w:val="0400" w:firstRow="0" w:lastRow="0" w:firstColumn="0" w:lastColumn="0" w:noHBand="0" w:noVBand="1"/>
            </w:tblPr>
            <w:tblGrid>
              <w:gridCol w:w="3337"/>
              <w:gridCol w:w="1601"/>
              <w:gridCol w:w="1854"/>
              <w:gridCol w:w="3085"/>
            </w:tblGrid>
            <w:tr w:rsidR="00A002D7" w14:paraId="391D7A15" w14:textId="77777777" w:rsidTr="006B107F">
              <w:trPr>
                <w:trHeight w:val="1335"/>
              </w:trPr>
              <w:tc>
                <w:tcPr>
                  <w:tcW w:w="3337" w:type="dxa"/>
                  <w:shd w:val="clear" w:color="auto" w:fill="FFFFFF" w:themeFill="background1"/>
                </w:tcPr>
                <w:p w14:paraId="06FF4277" w14:textId="77777777" w:rsidR="00A002D7" w:rsidRDefault="00C91810">
                  <w:pPr>
                    <w:jc w:val="center"/>
                    <w:rPr>
                      <w:b/>
                    </w:rPr>
                  </w:pPr>
                  <w:r>
                    <w:rPr>
                      <w:b/>
                    </w:rPr>
                    <w:t>MINISTRUL LUCRĂRILOR PUBLICE, DEZVOLTĂRII ȘI ADMINISTRAȚIEI</w:t>
                  </w:r>
                </w:p>
                <w:p w14:paraId="09A58BA0" w14:textId="77777777" w:rsidR="00A002D7" w:rsidRDefault="00A002D7">
                  <w:pPr>
                    <w:jc w:val="center"/>
                    <w:rPr>
                      <w:b/>
                    </w:rPr>
                  </w:pPr>
                </w:p>
                <w:p w14:paraId="2EEA3C0A" w14:textId="77777777" w:rsidR="00A002D7" w:rsidRDefault="00C91810">
                  <w:pPr>
                    <w:jc w:val="center"/>
                    <w:rPr>
                      <w:b/>
                    </w:rPr>
                  </w:pPr>
                  <w:r>
                    <w:rPr>
                      <w:b/>
                    </w:rPr>
                    <w:t>ION ȘTEFAN</w:t>
                  </w:r>
                </w:p>
              </w:tc>
              <w:tc>
                <w:tcPr>
                  <w:tcW w:w="3455" w:type="dxa"/>
                  <w:gridSpan w:val="2"/>
                  <w:shd w:val="clear" w:color="auto" w:fill="FFFFFF" w:themeFill="background1"/>
                </w:tcPr>
                <w:p w14:paraId="6B0E06F9" w14:textId="77777777" w:rsidR="00A002D7" w:rsidRDefault="00C91810">
                  <w:pPr>
                    <w:pBdr>
                      <w:top w:val="nil"/>
                      <w:left w:val="nil"/>
                      <w:bottom w:val="nil"/>
                      <w:right w:val="nil"/>
                      <w:between w:val="nil"/>
                    </w:pBdr>
                    <w:jc w:val="center"/>
                    <w:rPr>
                      <w:b/>
                      <w:color w:val="000000"/>
                    </w:rPr>
                  </w:pPr>
                  <w:r>
                    <w:rPr>
                      <w:b/>
                      <w:color w:val="000000"/>
                    </w:rPr>
                    <w:t>MINISTRUL MEDIULUI, APELOR ȘI PĂDURILOR</w:t>
                  </w:r>
                </w:p>
                <w:p w14:paraId="142E7944" w14:textId="77777777" w:rsidR="00A002D7" w:rsidRDefault="00A002D7">
                  <w:pPr>
                    <w:rPr>
                      <w:b/>
                    </w:rPr>
                  </w:pPr>
                </w:p>
                <w:p w14:paraId="55EEF474" w14:textId="77777777" w:rsidR="00A002D7" w:rsidRDefault="00A002D7">
                  <w:pPr>
                    <w:rPr>
                      <w:b/>
                    </w:rPr>
                  </w:pPr>
                </w:p>
                <w:p w14:paraId="4B24DC4F" w14:textId="77777777" w:rsidR="00A002D7" w:rsidRDefault="00C91810">
                  <w:pPr>
                    <w:jc w:val="center"/>
                    <w:rPr>
                      <w:b/>
                    </w:rPr>
                  </w:pPr>
                  <w:r>
                    <w:rPr>
                      <w:b/>
                    </w:rPr>
                    <w:t>COSTEL ALEXE</w:t>
                  </w:r>
                </w:p>
              </w:tc>
              <w:tc>
                <w:tcPr>
                  <w:tcW w:w="3085" w:type="dxa"/>
                  <w:shd w:val="clear" w:color="auto" w:fill="FFFFFF" w:themeFill="background1"/>
                </w:tcPr>
                <w:p w14:paraId="60249831" w14:textId="77777777" w:rsidR="00A002D7" w:rsidRDefault="00C91810">
                  <w:pPr>
                    <w:pBdr>
                      <w:top w:val="nil"/>
                      <w:left w:val="nil"/>
                      <w:bottom w:val="nil"/>
                      <w:right w:val="nil"/>
                      <w:between w:val="nil"/>
                    </w:pBdr>
                    <w:jc w:val="center"/>
                    <w:rPr>
                      <w:b/>
                      <w:color w:val="000000"/>
                    </w:rPr>
                  </w:pPr>
                  <w:r>
                    <w:rPr>
                      <w:b/>
                      <w:color w:val="000000"/>
                    </w:rPr>
                    <w:t>MINISTRUL MUNCII ȘI PROTECȚIEI SOCIALE,</w:t>
                  </w:r>
                </w:p>
                <w:p w14:paraId="76EF734D" w14:textId="77777777" w:rsidR="00A002D7" w:rsidRDefault="00C91810">
                  <w:pPr>
                    <w:pBdr>
                      <w:top w:val="nil"/>
                      <w:left w:val="nil"/>
                      <w:bottom w:val="nil"/>
                      <w:right w:val="nil"/>
                      <w:between w:val="nil"/>
                    </w:pBdr>
                    <w:jc w:val="center"/>
                    <w:rPr>
                      <w:b/>
                      <w:color w:val="000000"/>
                    </w:rPr>
                  </w:pPr>
                  <w:r>
                    <w:rPr>
                      <w:b/>
                      <w:color w:val="000000"/>
                    </w:rPr>
                    <w:t>        </w:t>
                  </w:r>
                </w:p>
                <w:p w14:paraId="5B275991" w14:textId="77777777" w:rsidR="00A002D7" w:rsidRDefault="00A002D7">
                  <w:pPr>
                    <w:pBdr>
                      <w:top w:val="nil"/>
                      <w:left w:val="nil"/>
                      <w:bottom w:val="nil"/>
                      <w:right w:val="nil"/>
                      <w:between w:val="nil"/>
                    </w:pBdr>
                    <w:jc w:val="center"/>
                    <w:rPr>
                      <w:b/>
                      <w:color w:val="000000"/>
                    </w:rPr>
                  </w:pPr>
                </w:p>
                <w:p w14:paraId="0FA3EE9D" w14:textId="77777777" w:rsidR="00A002D7" w:rsidRDefault="00C91810">
                  <w:pPr>
                    <w:pBdr>
                      <w:top w:val="nil"/>
                      <w:left w:val="nil"/>
                      <w:bottom w:val="nil"/>
                      <w:right w:val="nil"/>
                      <w:between w:val="nil"/>
                    </w:pBdr>
                    <w:jc w:val="center"/>
                    <w:rPr>
                      <w:b/>
                      <w:color w:val="000000"/>
                    </w:rPr>
                  </w:pPr>
                  <w:r>
                    <w:rPr>
                      <w:b/>
                      <w:color w:val="000000"/>
                    </w:rPr>
                    <w:t>VICTORIA VIOLETA ALEXANDRU</w:t>
                  </w:r>
                </w:p>
                <w:p w14:paraId="1F05B5D5" w14:textId="77777777" w:rsidR="00A002D7" w:rsidRDefault="00A002D7">
                  <w:pPr>
                    <w:rPr>
                      <w:b/>
                    </w:rPr>
                  </w:pPr>
                </w:p>
              </w:tc>
            </w:tr>
            <w:tr w:rsidR="00A002D7" w14:paraId="57BD4342" w14:textId="77777777" w:rsidTr="006B107F">
              <w:trPr>
                <w:trHeight w:val="1523"/>
              </w:trPr>
              <w:tc>
                <w:tcPr>
                  <w:tcW w:w="3337" w:type="dxa"/>
                  <w:shd w:val="clear" w:color="auto" w:fill="FFFFFF" w:themeFill="background1"/>
                </w:tcPr>
                <w:p w14:paraId="3AE138F8" w14:textId="77777777" w:rsidR="00A002D7" w:rsidRDefault="00C91810">
                  <w:pPr>
                    <w:pBdr>
                      <w:top w:val="nil"/>
                      <w:left w:val="nil"/>
                      <w:bottom w:val="nil"/>
                      <w:right w:val="nil"/>
                      <w:between w:val="nil"/>
                    </w:pBdr>
                    <w:jc w:val="center"/>
                    <w:rPr>
                      <w:b/>
                      <w:color w:val="000000"/>
                    </w:rPr>
                  </w:pPr>
                  <w:r>
                    <w:rPr>
                      <w:b/>
                      <w:color w:val="000000"/>
                    </w:rPr>
                    <w:t>MINISTRUL TRANSPORTURILOR, INFRASTRUCTURII ȘI COMUNICAȚIILOR</w:t>
                  </w:r>
                </w:p>
                <w:p w14:paraId="6D53448D" w14:textId="77777777" w:rsidR="00A002D7" w:rsidRDefault="00A002D7">
                  <w:pPr>
                    <w:jc w:val="center"/>
                    <w:rPr>
                      <w:b/>
                    </w:rPr>
                  </w:pPr>
                </w:p>
                <w:p w14:paraId="2E79D9D9" w14:textId="77777777" w:rsidR="00A002D7" w:rsidRDefault="00C91810">
                  <w:pPr>
                    <w:jc w:val="center"/>
                    <w:rPr>
                      <w:b/>
                    </w:rPr>
                  </w:pPr>
                  <w:r>
                    <w:rPr>
                      <w:b/>
                    </w:rPr>
                    <w:t>LUCIAN NICOLAE BODE</w:t>
                  </w:r>
                </w:p>
              </w:tc>
              <w:tc>
                <w:tcPr>
                  <w:tcW w:w="3455" w:type="dxa"/>
                  <w:gridSpan w:val="2"/>
                  <w:shd w:val="clear" w:color="auto" w:fill="FFFFFF" w:themeFill="background1"/>
                </w:tcPr>
                <w:p w14:paraId="13A720CB" w14:textId="77777777" w:rsidR="00A002D7" w:rsidRDefault="00C91810">
                  <w:pPr>
                    <w:pBdr>
                      <w:top w:val="nil"/>
                      <w:left w:val="nil"/>
                      <w:bottom w:val="nil"/>
                      <w:right w:val="nil"/>
                      <w:between w:val="nil"/>
                    </w:pBdr>
                    <w:jc w:val="center"/>
                    <w:rPr>
                      <w:b/>
                      <w:color w:val="000000"/>
                    </w:rPr>
                  </w:pPr>
                  <w:r>
                    <w:rPr>
                      <w:b/>
                      <w:color w:val="000000"/>
                    </w:rPr>
                    <w:t>MINISTRUL AGRICULTURII ȘI DEZVOLTĂRII RURALE,</w:t>
                  </w:r>
                </w:p>
                <w:p w14:paraId="0DA1BFC0" w14:textId="77777777" w:rsidR="00A002D7" w:rsidRDefault="00A002D7">
                  <w:pPr>
                    <w:pBdr>
                      <w:top w:val="nil"/>
                      <w:left w:val="nil"/>
                      <w:bottom w:val="nil"/>
                      <w:right w:val="nil"/>
                      <w:between w:val="nil"/>
                    </w:pBdr>
                    <w:jc w:val="center"/>
                    <w:rPr>
                      <w:b/>
                      <w:color w:val="000000"/>
                    </w:rPr>
                  </w:pPr>
                </w:p>
                <w:p w14:paraId="1145DE7A" w14:textId="77777777" w:rsidR="00A002D7" w:rsidRDefault="00A002D7">
                  <w:pPr>
                    <w:pBdr>
                      <w:top w:val="nil"/>
                      <w:left w:val="nil"/>
                      <w:bottom w:val="nil"/>
                      <w:right w:val="nil"/>
                      <w:between w:val="nil"/>
                    </w:pBdr>
                    <w:jc w:val="center"/>
                    <w:rPr>
                      <w:b/>
                      <w:color w:val="000000"/>
                    </w:rPr>
                  </w:pPr>
                </w:p>
                <w:p w14:paraId="4074AADD" w14:textId="77777777" w:rsidR="00A002D7" w:rsidRDefault="00C91810">
                  <w:pPr>
                    <w:pBdr>
                      <w:top w:val="nil"/>
                      <w:left w:val="nil"/>
                      <w:bottom w:val="nil"/>
                      <w:right w:val="nil"/>
                      <w:between w:val="nil"/>
                    </w:pBdr>
                    <w:jc w:val="center"/>
                    <w:rPr>
                      <w:b/>
                      <w:color w:val="000000"/>
                    </w:rPr>
                  </w:pPr>
                  <w:r>
                    <w:rPr>
                      <w:b/>
                      <w:color w:val="000000"/>
                    </w:rPr>
                    <w:t>NECHITA – ADRIAN OROS</w:t>
                  </w:r>
                </w:p>
                <w:p w14:paraId="56CBB122" w14:textId="77777777" w:rsidR="00A002D7" w:rsidRDefault="00A002D7">
                  <w:pPr>
                    <w:jc w:val="center"/>
                    <w:rPr>
                      <w:b/>
                    </w:rPr>
                  </w:pPr>
                </w:p>
              </w:tc>
              <w:tc>
                <w:tcPr>
                  <w:tcW w:w="3085" w:type="dxa"/>
                  <w:shd w:val="clear" w:color="auto" w:fill="FFFFFF" w:themeFill="background1"/>
                </w:tcPr>
                <w:p w14:paraId="5F573ED0" w14:textId="77777777" w:rsidR="00A002D7" w:rsidRDefault="00C91810">
                  <w:pPr>
                    <w:pBdr>
                      <w:top w:val="nil"/>
                      <w:left w:val="nil"/>
                      <w:bottom w:val="nil"/>
                      <w:right w:val="nil"/>
                      <w:between w:val="nil"/>
                    </w:pBdr>
                    <w:jc w:val="center"/>
                    <w:rPr>
                      <w:b/>
                      <w:color w:val="000000"/>
                    </w:rPr>
                  </w:pPr>
                  <w:r>
                    <w:rPr>
                      <w:b/>
                      <w:color w:val="000000"/>
                    </w:rPr>
                    <w:t>MINISTRUL APĂRĂRII NAȚIONALE,</w:t>
                  </w:r>
                </w:p>
                <w:p w14:paraId="3111AD1F" w14:textId="77777777" w:rsidR="00A002D7" w:rsidRDefault="00A002D7">
                  <w:pPr>
                    <w:pBdr>
                      <w:top w:val="nil"/>
                      <w:left w:val="nil"/>
                      <w:bottom w:val="nil"/>
                      <w:right w:val="nil"/>
                      <w:between w:val="nil"/>
                    </w:pBdr>
                    <w:jc w:val="center"/>
                    <w:rPr>
                      <w:b/>
                      <w:color w:val="000000"/>
                    </w:rPr>
                  </w:pPr>
                </w:p>
                <w:p w14:paraId="0E2B45E6" w14:textId="77777777" w:rsidR="00A002D7" w:rsidRDefault="00A002D7">
                  <w:pPr>
                    <w:pBdr>
                      <w:top w:val="nil"/>
                      <w:left w:val="nil"/>
                      <w:bottom w:val="nil"/>
                      <w:right w:val="nil"/>
                      <w:between w:val="nil"/>
                    </w:pBdr>
                    <w:jc w:val="center"/>
                    <w:rPr>
                      <w:b/>
                      <w:color w:val="000000"/>
                    </w:rPr>
                  </w:pPr>
                </w:p>
                <w:p w14:paraId="2D252E8B" w14:textId="77777777" w:rsidR="00A002D7" w:rsidRDefault="00A002D7">
                  <w:pPr>
                    <w:pBdr>
                      <w:top w:val="nil"/>
                      <w:left w:val="nil"/>
                      <w:bottom w:val="nil"/>
                      <w:right w:val="nil"/>
                      <w:between w:val="nil"/>
                    </w:pBdr>
                    <w:jc w:val="center"/>
                    <w:rPr>
                      <w:b/>
                      <w:color w:val="000000"/>
                    </w:rPr>
                  </w:pPr>
                </w:p>
                <w:p w14:paraId="067767DC" w14:textId="77777777" w:rsidR="00A002D7" w:rsidRDefault="00C91810">
                  <w:pPr>
                    <w:pBdr>
                      <w:top w:val="nil"/>
                      <w:left w:val="nil"/>
                      <w:bottom w:val="nil"/>
                      <w:right w:val="nil"/>
                      <w:between w:val="nil"/>
                    </w:pBdr>
                    <w:jc w:val="center"/>
                    <w:rPr>
                      <w:b/>
                      <w:color w:val="000000"/>
                    </w:rPr>
                  </w:pPr>
                  <w:r>
                    <w:rPr>
                      <w:b/>
                      <w:color w:val="000000"/>
                    </w:rPr>
                    <w:t>NICOLAE – IONEL CIUCĂ</w:t>
                  </w:r>
                </w:p>
                <w:p w14:paraId="2DD822D6" w14:textId="77777777" w:rsidR="00A002D7" w:rsidRDefault="00A002D7">
                  <w:pPr>
                    <w:pBdr>
                      <w:top w:val="nil"/>
                      <w:left w:val="nil"/>
                      <w:bottom w:val="nil"/>
                      <w:right w:val="nil"/>
                      <w:between w:val="nil"/>
                    </w:pBdr>
                    <w:jc w:val="center"/>
                    <w:rPr>
                      <w:b/>
                      <w:color w:val="000000"/>
                    </w:rPr>
                  </w:pPr>
                </w:p>
              </w:tc>
            </w:tr>
            <w:tr w:rsidR="00A002D7" w14:paraId="462E67BB" w14:textId="77777777" w:rsidTr="006B107F">
              <w:trPr>
                <w:trHeight w:val="1335"/>
              </w:trPr>
              <w:tc>
                <w:tcPr>
                  <w:tcW w:w="3337" w:type="dxa"/>
                  <w:shd w:val="clear" w:color="auto" w:fill="FFFFFF" w:themeFill="background1"/>
                </w:tcPr>
                <w:p w14:paraId="12CA1AD0" w14:textId="77777777" w:rsidR="00A002D7" w:rsidRDefault="00C91810">
                  <w:pPr>
                    <w:pBdr>
                      <w:top w:val="nil"/>
                      <w:left w:val="nil"/>
                      <w:bottom w:val="nil"/>
                      <w:right w:val="nil"/>
                      <w:between w:val="nil"/>
                    </w:pBdr>
                    <w:jc w:val="center"/>
                    <w:rPr>
                      <w:b/>
                      <w:color w:val="000000"/>
                    </w:rPr>
                  </w:pPr>
                  <w:r>
                    <w:rPr>
                      <w:b/>
                      <w:color w:val="000000"/>
                    </w:rPr>
                    <w:t>MINISTRUL EDUCAȚIEI ȘI CERCETĂRII,</w:t>
                  </w:r>
                </w:p>
                <w:p w14:paraId="6E735D40" w14:textId="77777777" w:rsidR="00A002D7" w:rsidRDefault="00C91810">
                  <w:pPr>
                    <w:jc w:val="center"/>
                    <w:rPr>
                      <w:b/>
                    </w:rPr>
                  </w:pPr>
                  <w:r>
                    <w:rPr>
                      <w:b/>
                    </w:rPr>
                    <w:t>         </w:t>
                  </w:r>
                </w:p>
                <w:p w14:paraId="5ACD4939" w14:textId="77777777" w:rsidR="00A002D7" w:rsidRDefault="00A002D7">
                  <w:pPr>
                    <w:jc w:val="center"/>
                    <w:rPr>
                      <w:b/>
                    </w:rPr>
                  </w:pPr>
                </w:p>
                <w:p w14:paraId="107EFBFB" w14:textId="77777777" w:rsidR="00A002D7" w:rsidRDefault="00C91810">
                  <w:pPr>
                    <w:jc w:val="center"/>
                    <w:rPr>
                      <w:b/>
                    </w:rPr>
                  </w:pPr>
                  <w:r>
                    <w:rPr>
                      <w:b/>
                    </w:rPr>
                    <w:t>CRISTINA MONICA ANISIE</w:t>
                  </w:r>
                </w:p>
                <w:p w14:paraId="729591B7" w14:textId="77777777" w:rsidR="00A002D7" w:rsidRDefault="00A002D7">
                  <w:pPr>
                    <w:pBdr>
                      <w:top w:val="nil"/>
                      <w:left w:val="nil"/>
                      <w:bottom w:val="nil"/>
                      <w:right w:val="nil"/>
                      <w:between w:val="nil"/>
                    </w:pBdr>
                    <w:jc w:val="center"/>
                    <w:rPr>
                      <w:b/>
                      <w:color w:val="000000"/>
                    </w:rPr>
                  </w:pPr>
                </w:p>
              </w:tc>
              <w:tc>
                <w:tcPr>
                  <w:tcW w:w="3455" w:type="dxa"/>
                  <w:gridSpan w:val="2"/>
                  <w:shd w:val="clear" w:color="auto" w:fill="FFFFFF" w:themeFill="background1"/>
                </w:tcPr>
                <w:p w14:paraId="6F0408E5" w14:textId="77777777" w:rsidR="00A002D7" w:rsidRDefault="00C91810">
                  <w:pPr>
                    <w:pBdr>
                      <w:top w:val="nil"/>
                      <w:left w:val="nil"/>
                      <w:bottom w:val="nil"/>
                      <w:right w:val="nil"/>
                      <w:between w:val="nil"/>
                    </w:pBdr>
                    <w:jc w:val="center"/>
                    <w:rPr>
                      <w:b/>
                      <w:color w:val="000000"/>
                    </w:rPr>
                  </w:pPr>
                  <w:r>
                    <w:rPr>
                      <w:b/>
                      <w:color w:val="000000"/>
                    </w:rPr>
                    <w:t>MINISTRUL AFACERILOR INTERNE,</w:t>
                  </w:r>
                </w:p>
                <w:p w14:paraId="08D63D4B" w14:textId="77777777" w:rsidR="00A002D7" w:rsidRDefault="00A002D7">
                  <w:pPr>
                    <w:pBdr>
                      <w:top w:val="nil"/>
                      <w:left w:val="nil"/>
                      <w:bottom w:val="nil"/>
                      <w:right w:val="nil"/>
                      <w:between w:val="nil"/>
                    </w:pBdr>
                    <w:jc w:val="center"/>
                    <w:rPr>
                      <w:b/>
                      <w:color w:val="000000"/>
                    </w:rPr>
                  </w:pPr>
                </w:p>
                <w:p w14:paraId="1DFA22B7" w14:textId="77777777" w:rsidR="00A002D7" w:rsidRDefault="00A002D7">
                  <w:pPr>
                    <w:pBdr>
                      <w:top w:val="nil"/>
                      <w:left w:val="nil"/>
                      <w:bottom w:val="nil"/>
                      <w:right w:val="nil"/>
                      <w:between w:val="nil"/>
                    </w:pBdr>
                    <w:jc w:val="center"/>
                    <w:rPr>
                      <w:b/>
                      <w:color w:val="000000"/>
                    </w:rPr>
                  </w:pPr>
                </w:p>
                <w:p w14:paraId="2012905D" w14:textId="77777777" w:rsidR="00A002D7" w:rsidRDefault="00C91810">
                  <w:pPr>
                    <w:pBdr>
                      <w:top w:val="nil"/>
                      <w:left w:val="nil"/>
                      <w:bottom w:val="nil"/>
                      <w:right w:val="nil"/>
                      <w:between w:val="nil"/>
                    </w:pBdr>
                    <w:jc w:val="center"/>
                    <w:rPr>
                      <w:b/>
                      <w:color w:val="000000"/>
                    </w:rPr>
                  </w:pPr>
                  <w:r>
                    <w:rPr>
                      <w:b/>
                      <w:color w:val="000000"/>
                    </w:rPr>
                    <w:t>MARCEL ION VELA</w:t>
                  </w:r>
                </w:p>
                <w:p w14:paraId="0338F703" w14:textId="77777777" w:rsidR="00A002D7" w:rsidRDefault="00A002D7">
                  <w:pPr>
                    <w:jc w:val="center"/>
                    <w:rPr>
                      <w:b/>
                    </w:rPr>
                  </w:pPr>
                </w:p>
              </w:tc>
              <w:tc>
                <w:tcPr>
                  <w:tcW w:w="3085" w:type="dxa"/>
                  <w:shd w:val="clear" w:color="auto" w:fill="FFFFFF" w:themeFill="background1"/>
                </w:tcPr>
                <w:p w14:paraId="3B68DC8C" w14:textId="77777777" w:rsidR="00A002D7" w:rsidRDefault="00C91810">
                  <w:pPr>
                    <w:jc w:val="center"/>
                    <w:rPr>
                      <w:b/>
                    </w:rPr>
                  </w:pPr>
                  <w:r>
                    <w:rPr>
                      <w:b/>
                    </w:rPr>
                    <w:t>MINISTRUL SĂNĂTĂȚII,</w:t>
                  </w:r>
                </w:p>
                <w:p w14:paraId="40E1B204" w14:textId="77777777" w:rsidR="00A002D7" w:rsidRDefault="00A002D7">
                  <w:pPr>
                    <w:jc w:val="center"/>
                    <w:rPr>
                      <w:b/>
                    </w:rPr>
                  </w:pPr>
                </w:p>
                <w:p w14:paraId="2D77150D" w14:textId="77777777" w:rsidR="00A002D7" w:rsidRDefault="00A002D7">
                  <w:pPr>
                    <w:jc w:val="center"/>
                    <w:rPr>
                      <w:b/>
                    </w:rPr>
                  </w:pPr>
                </w:p>
                <w:p w14:paraId="4C6F6625" w14:textId="77777777" w:rsidR="00A002D7" w:rsidRDefault="00A002D7">
                  <w:pPr>
                    <w:jc w:val="center"/>
                    <w:rPr>
                      <w:b/>
                    </w:rPr>
                  </w:pPr>
                </w:p>
                <w:p w14:paraId="68AE6BC9" w14:textId="77777777" w:rsidR="00A002D7" w:rsidRDefault="00C91810">
                  <w:pPr>
                    <w:jc w:val="center"/>
                    <w:rPr>
                      <w:b/>
                    </w:rPr>
                  </w:pPr>
                  <w:r>
                    <w:rPr>
                      <w:b/>
                    </w:rPr>
                    <w:t>NELU TĂTARU</w:t>
                  </w:r>
                </w:p>
                <w:p w14:paraId="0669EFC4" w14:textId="77777777" w:rsidR="00A002D7" w:rsidRDefault="00A002D7">
                  <w:pPr>
                    <w:jc w:val="center"/>
                    <w:rPr>
                      <w:b/>
                    </w:rPr>
                  </w:pPr>
                </w:p>
                <w:p w14:paraId="291FDB57" w14:textId="77777777" w:rsidR="00A002D7" w:rsidRDefault="00A002D7">
                  <w:pPr>
                    <w:jc w:val="center"/>
                    <w:rPr>
                      <w:b/>
                    </w:rPr>
                  </w:pPr>
                </w:p>
              </w:tc>
            </w:tr>
            <w:tr w:rsidR="00A002D7" w14:paraId="4E51576D" w14:textId="77777777" w:rsidTr="006B107F">
              <w:trPr>
                <w:trHeight w:val="1504"/>
              </w:trPr>
              <w:tc>
                <w:tcPr>
                  <w:tcW w:w="3337" w:type="dxa"/>
                  <w:shd w:val="clear" w:color="auto" w:fill="FFFFFF" w:themeFill="background1"/>
                </w:tcPr>
                <w:p w14:paraId="7D4E4393" w14:textId="77777777" w:rsidR="00A002D7" w:rsidRDefault="00C91810">
                  <w:pPr>
                    <w:pBdr>
                      <w:top w:val="nil"/>
                      <w:left w:val="nil"/>
                      <w:bottom w:val="nil"/>
                      <w:right w:val="nil"/>
                      <w:between w:val="nil"/>
                    </w:pBdr>
                    <w:jc w:val="center"/>
                    <w:rPr>
                      <w:b/>
                      <w:color w:val="000000"/>
                    </w:rPr>
                  </w:pPr>
                  <w:r>
                    <w:rPr>
                      <w:b/>
                      <w:color w:val="000000"/>
                    </w:rPr>
                    <w:t>SECRETARUL GENERAL AL GUVERNULUI</w:t>
                  </w:r>
                </w:p>
                <w:p w14:paraId="3E836C04" w14:textId="77777777" w:rsidR="00A002D7" w:rsidRDefault="00C91810">
                  <w:pPr>
                    <w:pBdr>
                      <w:top w:val="nil"/>
                      <w:left w:val="nil"/>
                      <w:bottom w:val="nil"/>
                      <w:right w:val="nil"/>
                      <w:between w:val="nil"/>
                    </w:pBdr>
                    <w:jc w:val="center"/>
                    <w:rPr>
                      <w:b/>
                      <w:color w:val="000000"/>
                    </w:rPr>
                  </w:pPr>
                  <w:r>
                    <w:rPr>
                      <w:b/>
                      <w:color w:val="000000"/>
                    </w:rPr>
                    <w:t>          </w:t>
                  </w:r>
                </w:p>
                <w:p w14:paraId="52D3BAFB" w14:textId="77777777" w:rsidR="00A002D7" w:rsidRDefault="00A002D7">
                  <w:pPr>
                    <w:pBdr>
                      <w:top w:val="nil"/>
                      <w:left w:val="nil"/>
                      <w:bottom w:val="nil"/>
                      <w:right w:val="nil"/>
                      <w:between w:val="nil"/>
                    </w:pBdr>
                    <w:jc w:val="center"/>
                    <w:rPr>
                      <w:b/>
                      <w:color w:val="000000"/>
                    </w:rPr>
                  </w:pPr>
                </w:p>
                <w:p w14:paraId="1FB90DBF" w14:textId="77777777" w:rsidR="00A002D7" w:rsidRDefault="00A002D7">
                  <w:pPr>
                    <w:pBdr>
                      <w:top w:val="nil"/>
                      <w:left w:val="nil"/>
                      <w:bottom w:val="nil"/>
                      <w:right w:val="nil"/>
                      <w:between w:val="nil"/>
                    </w:pBdr>
                    <w:jc w:val="center"/>
                    <w:rPr>
                      <w:b/>
                      <w:color w:val="000000"/>
                    </w:rPr>
                  </w:pPr>
                </w:p>
                <w:p w14:paraId="195114B5" w14:textId="77777777" w:rsidR="00A002D7" w:rsidRDefault="00C91810">
                  <w:pPr>
                    <w:pBdr>
                      <w:top w:val="nil"/>
                      <w:left w:val="nil"/>
                      <w:bottom w:val="nil"/>
                      <w:right w:val="nil"/>
                      <w:between w:val="nil"/>
                    </w:pBdr>
                    <w:jc w:val="center"/>
                    <w:rPr>
                      <w:b/>
                      <w:color w:val="000000"/>
                    </w:rPr>
                  </w:pPr>
                  <w:r>
                    <w:rPr>
                      <w:b/>
                      <w:color w:val="000000"/>
                    </w:rPr>
                    <w:t>ANTONEL TĂNASE</w:t>
                  </w:r>
                </w:p>
              </w:tc>
              <w:tc>
                <w:tcPr>
                  <w:tcW w:w="3455" w:type="dxa"/>
                  <w:gridSpan w:val="2"/>
                  <w:shd w:val="clear" w:color="auto" w:fill="FFFFFF" w:themeFill="background1"/>
                </w:tcPr>
                <w:p w14:paraId="56941FB2" w14:textId="77777777" w:rsidR="00A002D7" w:rsidRDefault="00C91810">
                  <w:pPr>
                    <w:tabs>
                      <w:tab w:val="center" w:pos="4320"/>
                      <w:tab w:val="right" w:pos="8640"/>
                    </w:tabs>
                    <w:spacing w:line="276" w:lineRule="auto"/>
                    <w:ind w:right="15"/>
                    <w:jc w:val="center"/>
                    <w:rPr>
                      <w:b/>
                    </w:rPr>
                  </w:pPr>
                  <w:r>
                    <w:rPr>
                      <w:b/>
                    </w:rPr>
                    <w:t>AUTORITATEA PENTRU DIGITALIZAREA ROMÂNIEI</w:t>
                  </w:r>
                </w:p>
                <w:p w14:paraId="0B90D57F" w14:textId="77777777" w:rsidR="00A002D7" w:rsidRDefault="00A002D7">
                  <w:pPr>
                    <w:tabs>
                      <w:tab w:val="center" w:pos="4320"/>
                      <w:tab w:val="right" w:pos="8640"/>
                    </w:tabs>
                    <w:spacing w:line="276" w:lineRule="auto"/>
                    <w:ind w:right="15"/>
                    <w:rPr>
                      <w:b/>
                    </w:rPr>
                  </w:pPr>
                </w:p>
                <w:p w14:paraId="4E5B16D8" w14:textId="77777777" w:rsidR="00A002D7" w:rsidRDefault="00C91810">
                  <w:pPr>
                    <w:tabs>
                      <w:tab w:val="center" w:pos="4320"/>
                      <w:tab w:val="right" w:pos="8640"/>
                    </w:tabs>
                    <w:spacing w:line="276" w:lineRule="auto"/>
                    <w:ind w:right="15"/>
                    <w:jc w:val="center"/>
                    <w:rPr>
                      <w:b/>
                    </w:rPr>
                  </w:pPr>
                  <w:r>
                    <w:rPr>
                      <w:b/>
                    </w:rPr>
                    <w:t>Președinte IOAN-SABIN SĂRMAȘ</w:t>
                  </w:r>
                </w:p>
                <w:p w14:paraId="17882EAB" w14:textId="77777777" w:rsidR="00A002D7" w:rsidRDefault="00A002D7">
                  <w:pPr>
                    <w:pBdr>
                      <w:top w:val="nil"/>
                      <w:left w:val="nil"/>
                      <w:bottom w:val="nil"/>
                      <w:right w:val="nil"/>
                      <w:between w:val="nil"/>
                    </w:pBdr>
                    <w:jc w:val="center"/>
                    <w:rPr>
                      <w:b/>
                      <w:color w:val="000000"/>
                    </w:rPr>
                  </w:pPr>
                </w:p>
              </w:tc>
              <w:tc>
                <w:tcPr>
                  <w:tcW w:w="3085" w:type="dxa"/>
                  <w:shd w:val="clear" w:color="auto" w:fill="FFFFFF" w:themeFill="background1"/>
                </w:tcPr>
                <w:p w14:paraId="5E731390" w14:textId="77777777" w:rsidR="00A002D7" w:rsidRDefault="00C91810">
                  <w:pPr>
                    <w:tabs>
                      <w:tab w:val="center" w:pos="4320"/>
                      <w:tab w:val="right" w:pos="8640"/>
                    </w:tabs>
                    <w:spacing w:line="276" w:lineRule="auto"/>
                    <w:ind w:right="15"/>
                    <w:jc w:val="center"/>
                    <w:rPr>
                      <w:b/>
                    </w:rPr>
                  </w:pPr>
                  <w:r>
                    <w:rPr>
                      <w:b/>
                    </w:rPr>
                    <w:t>CASA NAȚIONALĂ DE ASIGURĂRI DE SĂNĂTATE</w:t>
                  </w:r>
                </w:p>
                <w:p w14:paraId="7FC2530D" w14:textId="77777777" w:rsidR="00A002D7" w:rsidRDefault="00A002D7">
                  <w:pPr>
                    <w:tabs>
                      <w:tab w:val="center" w:pos="4320"/>
                      <w:tab w:val="right" w:pos="8640"/>
                    </w:tabs>
                    <w:spacing w:line="276" w:lineRule="auto"/>
                    <w:ind w:right="15" w:firstLine="720"/>
                    <w:jc w:val="center"/>
                    <w:rPr>
                      <w:b/>
                    </w:rPr>
                  </w:pPr>
                </w:p>
                <w:p w14:paraId="5CF90E76" w14:textId="77777777" w:rsidR="00A002D7" w:rsidRDefault="00C91810">
                  <w:pPr>
                    <w:tabs>
                      <w:tab w:val="center" w:pos="4320"/>
                      <w:tab w:val="right" w:pos="8640"/>
                    </w:tabs>
                    <w:spacing w:line="276" w:lineRule="auto"/>
                    <w:ind w:right="15"/>
                    <w:jc w:val="center"/>
                    <w:rPr>
                      <w:b/>
                    </w:rPr>
                  </w:pPr>
                  <w:r>
                    <w:rPr>
                      <w:b/>
                    </w:rPr>
                    <w:t>Președinte  ADELA COJAN</w:t>
                  </w:r>
                </w:p>
                <w:p w14:paraId="59AC9EB4" w14:textId="77777777" w:rsidR="00A002D7" w:rsidRDefault="00A002D7">
                  <w:pPr>
                    <w:jc w:val="center"/>
                    <w:rPr>
                      <w:b/>
                    </w:rPr>
                  </w:pPr>
                </w:p>
              </w:tc>
            </w:tr>
            <w:tr w:rsidR="00A002D7" w14:paraId="2E1C3118" w14:textId="77777777" w:rsidTr="006B107F">
              <w:trPr>
                <w:trHeight w:val="789"/>
              </w:trPr>
              <w:tc>
                <w:tcPr>
                  <w:tcW w:w="4938" w:type="dxa"/>
                  <w:gridSpan w:val="2"/>
                  <w:shd w:val="clear" w:color="auto" w:fill="FFFFFF" w:themeFill="background1"/>
                </w:tcPr>
                <w:p w14:paraId="2193C9FD" w14:textId="77777777" w:rsidR="00A002D7" w:rsidRDefault="00C91810">
                  <w:pPr>
                    <w:ind w:left="-12" w:firstLine="12"/>
                    <w:jc w:val="center"/>
                    <w:rPr>
                      <w:b/>
                    </w:rPr>
                  </w:pPr>
                  <w:r>
                    <w:rPr>
                      <w:b/>
                    </w:rPr>
                    <w:t>MINISTRUL FINANŢELOR PUBLICE</w:t>
                  </w:r>
                </w:p>
                <w:p w14:paraId="3DB8BD23" w14:textId="77777777" w:rsidR="00A002D7" w:rsidRDefault="00A002D7">
                  <w:pPr>
                    <w:jc w:val="center"/>
                    <w:rPr>
                      <w:b/>
                    </w:rPr>
                  </w:pPr>
                </w:p>
                <w:p w14:paraId="733CB377" w14:textId="77777777" w:rsidR="00A002D7" w:rsidRDefault="00A002D7">
                  <w:pPr>
                    <w:jc w:val="center"/>
                    <w:rPr>
                      <w:b/>
                    </w:rPr>
                  </w:pPr>
                </w:p>
                <w:p w14:paraId="7ABDCE91" w14:textId="77777777" w:rsidR="00A002D7" w:rsidRDefault="00C91810">
                  <w:pPr>
                    <w:jc w:val="center"/>
                    <w:rPr>
                      <w:b/>
                    </w:rPr>
                  </w:pPr>
                  <w:r>
                    <w:rPr>
                      <w:b/>
                    </w:rPr>
                    <w:t>VASILE – FLORIN CÎŢU</w:t>
                  </w:r>
                </w:p>
              </w:tc>
              <w:tc>
                <w:tcPr>
                  <w:tcW w:w="4939" w:type="dxa"/>
                  <w:gridSpan w:val="2"/>
                  <w:shd w:val="clear" w:color="auto" w:fill="FFFFFF" w:themeFill="background1"/>
                </w:tcPr>
                <w:p w14:paraId="5EAA9812" w14:textId="77777777" w:rsidR="00A002D7" w:rsidRDefault="00C91810">
                  <w:pPr>
                    <w:shd w:val="clear" w:color="auto" w:fill="FFFFFF"/>
                    <w:jc w:val="center"/>
                    <w:rPr>
                      <w:b/>
                    </w:rPr>
                  </w:pPr>
                  <w:r>
                    <w:rPr>
                      <w:b/>
                    </w:rPr>
                    <w:t>MINISTRUL JUSTIŢIEI</w:t>
                  </w:r>
                </w:p>
                <w:p w14:paraId="5198CD12" w14:textId="77777777" w:rsidR="00A002D7" w:rsidRDefault="00A002D7">
                  <w:pPr>
                    <w:shd w:val="clear" w:color="auto" w:fill="FFFFFF"/>
                    <w:jc w:val="center"/>
                    <w:rPr>
                      <w:b/>
                    </w:rPr>
                  </w:pPr>
                </w:p>
                <w:p w14:paraId="6DFFFFE8" w14:textId="77777777" w:rsidR="00A002D7" w:rsidRDefault="00A002D7">
                  <w:pPr>
                    <w:shd w:val="clear" w:color="auto" w:fill="FFFFFF"/>
                    <w:jc w:val="center"/>
                    <w:rPr>
                      <w:b/>
                    </w:rPr>
                  </w:pPr>
                </w:p>
                <w:p w14:paraId="1109555B" w14:textId="77777777" w:rsidR="00A002D7" w:rsidRDefault="00C91810">
                  <w:pPr>
                    <w:tabs>
                      <w:tab w:val="center" w:pos="4320"/>
                      <w:tab w:val="right" w:pos="8640"/>
                    </w:tabs>
                    <w:spacing w:line="276" w:lineRule="auto"/>
                    <w:ind w:right="15"/>
                    <w:jc w:val="center"/>
                    <w:rPr>
                      <w:b/>
                    </w:rPr>
                  </w:pPr>
                  <w:r>
                    <w:rPr>
                      <w:b/>
                    </w:rPr>
                    <w:t>MARIAN CĂTĂLIN PREDOIU</w:t>
                  </w:r>
                </w:p>
              </w:tc>
            </w:tr>
          </w:tbl>
          <w:p w14:paraId="0A941F91" w14:textId="77777777" w:rsidR="00A002D7" w:rsidRDefault="00A002D7">
            <w:pPr>
              <w:pBdr>
                <w:top w:val="nil"/>
                <w:left w:val="nil"/>
                <w:bottom w:val="nil"/>
                <w:right w:val="nil"/>
                <w:between w:val="nil"/>
              </w:pBdr>
              <w:jc w:val="both"/>
              <w:rPr>
                <w:b/>
                <w:color w:val="000000"/>
                <w:u w:val="single"/>
              </w:rPr>
            </w:pPr>
          </w:p>
        </w:tc>
      </w:tr>
    </w:tbl>
    <w:p w14:paraId="3881D472" w14:textId="77777777" w:rsidR="00A002D7" w:rsidRPr="00145C83" w:rsidRDefault="00A002D7">
      <w:pPr>
        <w:widowControl w:val="0"/>
        <w:pBdr>
          <w:top w:val="nil"/>
          <w:left w:val="nil"/>
          <w:bottom w:val="nil"/>
          <w:right w:val="nil"/>
          <w:between w:val="nil"/>
        </w:pBdr>
        <w:spacing w:line="276" w:lineRule="auto"/>
        <w:rPr>
          <w:b/>
          <w:sz w:val="2"/>
          <w:szCs w:val="2"/>
        </w:rPr>
      </w:pPr>
    </w:p>
    <w:p w14:paraId="200740F5" w14:textId="77777777" w:rsidR="00A002D7" w:rsidRDefault="00A002D7">
      <w:pPr>
        <w:spacing w:line="360" w:lineRule="auto"/>
        <w:jc w:val="center"/>
        <w:rPr>
          <w:b/>
          <w:sz w:val="22"/>
          <w:szCs w:val="22"/>
        </w:rPr>
      </w:pPr>
    </w:p>
    <w:sectPr w:rsidR="00A002D7">
      <w:footerReference w:type="even" r:id="rId6"/>
      <w:footerReference w:type="default" r:id="rId7"/>
      <w:pgSz w:w="12240" w:h="15840"/>
      <w:pgMar w:top="737" w:right="851" w:bottom="540"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A4605" w14:textId="77777777" w:rsidR="00C91810" w:rsidRDefault="00C91810">
      <w:r>
        <w:separator/>
      </w:r>
    </w:p>
  </w:endnote>
  <w:endnote w:type="continuationSeparator" w:id="0">
    <w:p w14:paraId="0F69B326" w14:textId="77777777" w:rsidR="00C91810" w:rsidRDefault="00C9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A4BDE" w14:textId="77777777" w:rsidR="00A002D7" w:rsidRDefault="00C9181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07D679B" w14:textId="77777777" w:rsidR="00A002D7" w:rsidRDefault="00A002D7">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D1442" w14:textId="77777777" w:rsidR="00A002D7" w:rsidRDefault="00C9181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sidR="00344F2B">
      <w:rPr>
        <w:color w:val="000000"/>
      </w:rPr>
      <w:fldChar w:fldCharType="separate"/>
    </w:r>
    <w:r w:rsidR="00344F2B">
      <w:rPr>
        <w:noProof/>
        <w:color w:val="000000"/>
      </w:rPr>
      <w:t>1</w:t>
    </w:r>
    <w:r>
      <w:rPr>
        <w:color w:val="000000"/>
      </w:rPr>
      <w:fldChar w:fldCharType="end"/>
    </w:r>
  </w:p>
  <w:p w14:paraId="10EF026B" w14:textId="77777777" w:rsidR="00A002D7" w:rsidRDefault="00A002D7">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740274" w14:textId="77777777" w:rsidR="00C91810" w:rsidRDefault="00C91810">
      <w:r>
        <w:separator/>
      </w:r>
    </w:p>
  </w:footnote>
  <w:footnote w:type="continuationSeparator" w:id="0">
    <w:p w14:paraId="3067EE5C" w14:textId="77777777" w:rsidR="00C91810" w:rsidRDefault="00C918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2D7"/>
    <w:rsid w:val="00095071"/>
    <w:rsid w:val="00145C83"/>
    <w:rsid w:val="00344F2B"/>
    <w:rsid w:val="006B107F"/>
    <w:rsid w:val="00A002D7"/>
    <w:rsid w:val="00C40DD5"/>
    <w:rsid w:val="00C91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9C48"/>
  <w15:docId w15:val="{8869715E-FDD4-46DD-A9B3-2B4AD005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outlineLvl w:val="0"/>
    </w:pPr>
    <w:rPr>
      <w:sz w:val="28"/>
      <w:szCs w:val="28"/>
    </w:rPr>
  </w:style>
  <w:style w:type="paragraph" w:styleId="Heading2">
    <w:name w:val="heading 2"/>
    <w:basedOn w:val="Normal"/>
    <w:next w:val="Normal"/>
    <w:uiPriority w:val="9"/>
    <w:unhideWhenUsed/>
    <w:qFormat/>
    <w:pPr>
      <w:keepNext/>
      <w:jc w:val="both"/>
      <w:outlineLvl w:val="1"/>
    </w:pPr>
    <w:rPr>
      <w:sz w:val="28"/>
      <w:szCs w:val="28"/>
    </w:rPr>
  </w:style>
  <w:style w:type="paragraph" w:styleId="Heading3">
    <w:name w:val="heading 3"/>
    <w:basedOn w:val="Normal"/>
    <w:next w:val="Normal"/>
    <w:uiPriority w:val="9"/>
    <w:unhideWhenUsed/>
    <w:qFormat/>
    <w:pPr>
      <w:keepNext/>
      <w:keepLines/>
      <w:spacing w:before="200"/>
      <w:outlineLvl w:val="2"/>
    </w:pPr>
    <w:rPr>
      <w:rFonts w:ascii="Calibri" w:eastAsia="Calibri" w:hAnsi="Calibri" w:cs="Calibri"/>
      <w:b/>
      <w:color w:val="5B9BD5"/>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unhideWhenUsed/>
    <w:qFormat/>
    <w:pPr>
      <w:keepNext/>
      <w:keepLines/>
      <w:spacing w:before="220" w:after="40"/>
      <w:outlineLvl w:val="4"/>
    </w:pPr>
    <w:rPr>
      <w:b/>
      <w:sz w:val="22"/>
      <w:szCs w:val="22"/>
    </w:rPr>
  </w:style>
  <w:style w:type="paragraph" w:styleId="Heading6">
    <w:name w:val="heading 6"/>
    <w:basedOn w:val="Normal"/>
    <w:next w:val="Normal"/>
    <w:uiPriority w:val="9"/>
    <w:unhideWhenUsed/>
    <w:qFormat/>
    <w:pPr>
      <w:keepNext/>
      <w:spacing w:before="120" w:after="120" w:line="360" w:lineRule="auto"/>
      <w:outlineLvl w:val="5"/>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360" w:lineRule="auto"/>
      <w:jc w:val="center"/>
    </w:pPr>
    <w:rPr>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tcPr>
      <w:shd w:val="clear" w:color="auto" w:fill="EEF5FA"/>
    </w:tcPr>
  </w:style>
  <w:style w:type="table" w:customStyle="1" w:styleId="a8">
    <w:basedOn w:val="TableNormal"/>
    <w:tblPr>
      <w:tblStyleRowBandSize w:val="1"/>
      <w:tblStyleColBandSize w:val="1"/>
      <w:tblCellMar>
        <w:left w:w="115" w:type="dxa"/>
        <w:right w:w="115" w:type="dxa"/>
      </w:tblCellMar>
    </w:tblPr>
    <w:tcPr>
      <w:shd w:val="clear" w:color="auto" w:fill="EEF5FA"/>
    </w:tc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4872</Words>
  <Characters>27775</Characters>
  <Application>Microsoft Office Word</Application>
  <DocSecurity>0</DocSecurity>
  <Lines>231</Lines>
  <Paragraphs>65</Paragraphs>
  <ScaleCrop>false</ScaleCrop>
  <Company/>
  <LinksUpToDate>false</LinksUpToDate>
  <CharactersWithSpaces>32582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Consuela Stegarescu</cp:lastModifiedBy>
  <cp:revision>7</cp:revision>
  <dcterms:created xsi:type="dcterms:W3CDTF">2020-11-12T15:56:00Z</dcterms:created>
  <dcterms:modified xsi:type="dcterms:W3CDTF">2020-11-12T15:58:00Z</dcterms:modified>
</cp:coreProperties>
</file>